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FC" w:rsidRDefault="00BC6CFC" w:rsidP="002D7D0A">
      <w:pPr>
        <w:tabs>
          <w:tab w:val="left" w:pos="284"/>
        </w:tabs>
        <w:spacing w:before="0" w:after="120"/>
        <w:rPr>
          <w:rFonts w:eastAsia="Calibri"/>
          <w:b/>
        </w:rPr>
      </w:pPr>
      <w:bookmarkStart w:id="0" w:name="_GoBack"/>
      <w:bookmarkEnd w:id="0"/>
      <w:r w:rsidRPr="002D7D0A">
        <w:rPr>
          <w:rFonts w:eastAsia="Calibri"/>
          <w:b/>
        </w:rPr>
        <w:t>FINANCING THE GENDER IMPERATIVE FOR PROCUREMENT IN THE CITY OF JOHANNESBURG METROPOLITAN MUNICIPALITY</w:t>
      </w:r>
    </w:p>
    <w:p w:rsidR="00421C6C" w:rsidRPr="00421C6C" w:rsidRDefault="00421C6C" w:rsidP="00421C6C">
      <w:pPr>
        <w:tabs>
          <w:tab w:val="left" w:pos="284"/>
        </w:tabs>
        <w:spacing w:before="0"/>
        <w:rPr>
          <w:rFonts w:cs="Arial"/>
          <w:b/>
          <w:szCs w:val="20"/>
        </w:rPr>
      </w:pPr>
      <w:r w:rsidRPr="00421C6C">
        <w:rPr>
          <w:rFonts w:cs="Arial"/>
          <w:b/>
          <w:szCs w:val="20"/>
        </w:rPr>
        <w:t xml:space="preserve">AK Kithatu-Kiwekete </w:t>
      </w:r>
    </w:p>
    <w:p w:rsidR="00421C6C" w:rsidRPr="00421C6C" w:rsidRDefault="00421C6C" w:rsidP="00421C6C">
      <w:pPr>
        <w:tabs>
          <w:tab w:val="left" w:pos="284"/>
        </w:tabs>
        <w:spacing w:before="0"/>
        <w:rPr>
          <w:rFonts w:eastAsia="Calibri"/>
          <w:b/>
        </w:rPr>
      </w:pPr>
      <w:r w:rsidRPr="00421C6C">
        <w:rPr>
          <w:rFonts w:cs="Arial"/>
          <w:b/>
          <w:szCs w:val="20"/>
        </w:rPr>
        <w:t>University of Johannesburg</w:t>
      </w:r>
    </w:p>
    <w:p w:rsidR="00CB6433" w:rsidRPr="002D7D0A" w:rsidRDefault="00CB6433" w:rsidP="002D7D0A">
      <w:pPr>
        <w:pStyle w:val="Heading1"/>
        <w:spacing w:after="120"/>
      </w:pPr>
      <w:r w:rsidRPr="002D7D0A">
        <w:t>─Abstract ─</w:t>
      </w:r>
    </w:p>
    <w:p w:rsidR="00BC6CFC" w:rsidRPr="002D7D0A" w:rsidRDefault="00BC6CFC" w:rsidP="002D7D0A">
      <w:pPr>
        <w:tabs>
          <w:tab w:val="left" w:pos="284"/>
        </w:tabs>
        <w:spacing w:before="0"/>
        <w:contextualSpacing/>
        <w:rPr>
          <w:rFonts w:eastAsia="Calibri"/>
        </w:rPr>
      </w:pPr>
      <w:r w:rsidRPr="002D7D0A">
        <w:t>An important role that municipalities can play in procurement is for the local sphere to offer opportunities to realise economic equity for enterprises owned by women and other previously disadvantaged groups. Municipal procurement can be used to address equity concerns by opening up economic prospects for particular categories of people. Gender mainstreaming may be achieved by the conspicuous inclusion of enterprises that are owned and operated by women</w:t>
      </w:r>
      <w:r w:rsidR="004A72F3">
        <w:t>,</w:t>
      </w:r>
      <w:r w:rsidRPr="002D7D0A">
        <w:t xml:space="preserve"> </w:t>
      </w:r>
      <w:r w:rsidR="004A72F3">
        <w:t xml:space="preserve">which </w:t>
      </w:r>
      <w:r w:rsidRPr="002D7D0A">
        <w:t>often operate on the periphery of procurement. Integrating gender into municipal procurement enables women-owned businesses to participate, benefit</w:t>
      </w:r>
      <w:r w:rsidR="008A5352" w:rsidRPr="002D7D0A">
        <w:t>,</w:t>
      </w:r>
      <w:r w:rsidRPr="002D7D0A">
        <w:t xml:space="preserve"> and in turn enhance gendered participation in Johannesburg’s local economic development</w:t>
      </w:r>
      <w:r w:rsidR="00975FCF">
        <w:t xml:space="preserve"> (LED)</w:t>
      </w:r>
      <w:r w:rsidRPr="002D7D0A">
        <w:t xml:space="preserve">. This article </w:t>
      </w:r>
      <w:r w:rsidR="00303E47" w:rsidRPr="002D7D0A">
        <w:t>expands the</w:t>
      </w:r>
      <w:r w:rsidRPr="002D7D0A">
        <w:t xml:space="preserve"> conclusions from an earlier study that was concerned with e-procurement. </w:t>
      </w:r>
      <w:r w:rsidRPr="002D7D0A">
        <w:rPr>
          <w:rFonts w:eastAsia="Calibri"/>
        </w:rPr>
        <w:t xml:space="preserve">The article uses a qualitative analytic approach to assess how gendered procurement for the City of Johannesburg </w:t>
      </w:r>
      <w:r w:rsidR="003002D2" w:rsidRPr="002D7D0A">
        <w:rPr>
          <w:rFonts w:eastAsia="Calibri"/>
        </w:rPr>
        <w:t xml:space="preserve">Metropolitan Municipality (CJMM) </w:t>
      </w:r>
      <w:r w:rsidRPr="002D7D0A">
        <w:rPr>
          <w:rFonts w:eastAsia="Calibri"/>
        </w:rPr>
        <w:t xml:space="preserve">has </w:t>
      </w:r>
      <w:r w:rsidR="00115D1A">
        <w:rPr>
          <w:rFonts w:eastAsia="Calibri"/>
        </w:rPr>
        <w:t xml:space="preserve">not </w:t>
      </w:r>
      <w:r w:rsidRPr="002D7D0A">
        <w:rPr>
          <w:rFonts w:eastAsia="Calibri"/>
        </w:rPr>
        <w:t xml:space="preserve">been conducted </w:t>
      </w:r>
      <w:r w:rsidR="002C183F" w:rsidRPr="002D7D0A">
        <w:rPr>
          <w:rFonts w:eastAsia="Calibri"/>
        </w:rPr>
        <w:t>to benefit women-owned businesses</w:t>
      </w:r>
      <w:r w:rsidRPr="002D7D0A">
        <w:rPr>
          <w:rFonts w:eastAsia="Calibri"/>
        </w:rPr>
        <w:t>. These are compared against the municipality’s procurement policies, procedures</w:t>
      </w:r>
      <w:r w:rsidR="008A5352" w:rsidRPr="002D7D0A">
        <w:rPr>
          <w:rFonts w:eastAsia="Calibri"/>
        </w:rPr>
        <w:t>,</w:t>
      </w:r>
      <w:r w:rsidRPr="002D7D0A">
        <w:rPr>
          <w:rFonts w:eastAsia="Calibri"/>
        </w:rPr>
        <w:t xml:space="preserve"> and report</w:t>
      </w:r>
      <w:r w:rsidR="004A72F3">
        <w:rPr>
          <w:rFonts w:eastAsia="Calibri"/>
        </w:rPr>
        <w:t>s</w:t>
      </w:r>
      <w:r w:rsidRPr="002D7D0A">
        <w:rPr>
          <w:rFonts w:eastAsia="Calibri"/>
        </w:rPr>
        <w:t xml:space="preserve"> to highlight the gender gap in municipal procurement. The article deduces that a gender gap persists in the </w:t>
      </w:r>
      <w:r w:rsidR="003002D2" w:rsidRPr="002D7D0A">
        <w:rPr>
          <w:rFonts w:eastAsia="Calibri"/>
        </w:rPr>
        <w:t>CJMM</w:t>
      </w:r>
      <w:r w:rsidRPr="002D7D0A">
        <w:rPr>
          <w:rFonts w:eastAsia="Calibri"/>
        </w:rPr>
        <w:t>’s municipal procurement processes</w:t>
      </w:r>
      <w:r w:rsidR="008A5352" w:rsidRPr="002D7D0A">
        <w:rPr>
          <w:rFonts w:eastAsia="Calibri"/>
        </w:rPr>
        <w:t>,</w:t>
      </w:r>
      <w:r w:rsidRPr="002D7D0A">
        <w:rPr>
          <w:rFonts w:eastAsia="Calibri"/>
        </w:rPr>
        <w:t xml:space="preserve"> </w:t>
      </w:r>
      <w:r w:rsidR="008A5352" w:rsidRPr="002D7D0A">
        <w:rPr>
          <w:rFonts w:eastAsia="Calibri"/>
        </w:rPr>
        <w:t>which</w:t>
      </w:r>
      <w:r w:rsidRPr="002D7D0A">
        <w:rPr>
          <w:rFonts w:eastAsia="Calibri"/>
        </w:rPr>
        <w:t xml:space="preserve"> excludes </w:t>
      </w:r>
      <w:r w:rsidR="00D9655B">
        <w:rPr>
          <w:rFonts w:eastAsia="Calibri"/>
        </w:rPr>
        <w:t>women</w:t>
      </w:r>
      <w:r w:rsidR="008A5352" w:rsidRPr="002D7D0A">
        <w:rPr>
          <w:rFonts w:eastAsia="Calibri"/>
        </w:rPr>
        <w:t>-</w:t>
      </w:r>
      <w:r w:rsidRPr="002D7D0A">
        <w:rPr>
          <w:rFonts w:eastAsia="Calibri"/>
        </w:rPr>
        <w:t>headed businesses from benefiting from larger contracts</w:t>
      </w:r>
      <w:r w:rsidR="008A5352" w:rsidRPr="002D7D0A">
        <w:rPr>
          <w:rFonts w:eastAsia="Calibri"/>
        </w:rPr>
        <w:t>.</w:t>
      </w:r>
      <w:r w:rsidRPr="002D7D0A">
        <w:rPr>
          <w:rFonts w:eastAsia="Calibri"/>
        </w:rPr>
        <w:t xml:space="preserve"> </w:t>
      </w:r>
      <w:r w:rsidR="008A5352" w:rsidRPr="002D7D0A">
        <w:rPr>
          <w:rFonts w:eastAsia="Calibri"/>
        </w:rPr>
        <w:t xml:space="preserve">The article </w:t>
      </w:r>
      <w:r w:rsidRPr="002D7D0A">
        <w:rPr>
          <w:rFonts w:eastAsia="Calibri"/>
        </w:rPr>
        <w:t xml:space="preserve">offers suggestions for improvement. </w:t>
      </w:r>
      <w:r w:rsidRPr="002D7D0A">
        <w:t xml:space="preserve">The article recommends that future research is needed that will use gender-disaggregated data to analyse municipal sector procurement for </w:t>
      </w:r>
      <w:r w:rsidR="00975FCF">
        <w:t>LED</w:t>
      </w:r>
      <w:r w:rsidRPr="002D7D0A">
        <w:t>.</w:t>
      </w:r>
      <w:r w:rsidRPr="002D7D0A">
        <w:rPr>
          <w:rFonts w:eastAsia="Calibri"/>
        </w:rPr>
        <w:t xml:space="preserve"> The article concludes with key recommendations to enhance gender equity in municipal procurement.</w:t>
      </w:r>
    </w:p>
    <w:p w:rsidR="00BC6CFC" w:rsidRPr="002D7D0A" w:rsidRDefault="00BC6CFC" w:rsidP="002D7D0A">
      <w:pPr>
        <w:tabs>
          <w:tab w:val="left" w:pos="284"/>
        </w:tabs>
        <w:spacing w:before="0"/>
        <w:contextualSpacing/>
        <w:rPr>
          <w:rFonts w:eastAsia="Calibri"/>
        </w:rPr>
      </w:pPr>
      <w:r w:rsidRPr="002D7D0A">
        <w:rPr>
          <w:rFonts w:eastAsia="Calibri"/>
        </w:rPr>
        <w:t xml:space="preserve"> </w:t>
      </w:r>
    </w:p>
    <w:p w:rsidR="00BC6CFC" w:rsidRPr="002D7D0A" w:rsidRDefault="00BC6CFC" w:rsidP="002D7D0A">
      <w:pPr>
        <w:tabs>
          <w:tab w:val="left" w:pos="284"/>
        </w:tabs>
        <w:spacing w:before="0"/>
        <w:contextualSpacing/>
        <w:rPr>
          <w:rFonts w:eastAsia="Calibri"/>
        </w:rPr>
      </w:pPr>
      <w:r w:rsidRPr="002D7D0A">
        <w:rPr>
          <w:rFonts w:eastAsia="Calibri"/>
          <w:b/>
        </w:rPr>
        <w:t xml:space="preserve">Keywords: </w:t>
      </w:r>
      <w:r w:rsidRPr="002D7D0A">
        <w:rPr>
          <w:rFonts w:eastAsia="Calibri"/>
        </w:rPr>
        <w:t>economic equity, gender, Johannesburg, municipality, procurement</w:t>
      </w:r>
      <w:r w:rsidR="004A72F3">
        <w:rPr>
          <w:rFonts w:eastAsia="Calibri"/>
        </w:rPr>
        <w:t>.</w:t>
      </w:r>
    </w:p>
    <w:p w:rsidR="005E2CD6" w:rsidRPr="002D7D0A" w:rsidRDefault="005E2CD6" w:rsidP="00D9655B">
      <w:pPr>
        <w:rPr>
          <w:b/>
        </w:rPr>
      </w:pPr>
      <w:r w:rsidRPr="002D7D0A">
        <w:rPr>
          <w:b/>
        </w:rPr>
        <w:t xml:space="preserve">JEL Classification: </w:t>
      </w:r>
      <w:r w:rsidR="006F277B" w:rsidRPr="002D7D0A">
        <w:t>H76</w:t>
      </w:r>
    </w:p>
    <w:p w:rsidR="003002D2" w:rsidRDefault="003002D2">
      <w:pPr>
        <w:spacing w:before="0"/>
        <w:rPr>
          <w:b/>
          <w:bCs/>
        </w:rPr>
      </w:pPr>
      <w:r>
        <w:br w:type="page"/>
      </w:r>
    </w:p>
    <w:p w:rsidR="001367A8" w:rsidRPr="002D7D0A" w:rsidRDefault="001367A8" w:rsidP="009351EC">
      <w:pPr>
        <w:pStyle w:val="Heading1"/>
      </w:pPr>
      <w:r w:rsidRPr="002D7D0A">
        <w:lastRenderedPageBreak/>
        <w:t xml:space="preserve">1. </w:t>
      </w:r>
      <w:r w:rsidR="00914F16" w:rsidRPr="002D7D0A">
        <w:t>INTRODUCTION</w:t>
      </w:r>
    </w:p>
    <w:p w:rsidR="00754A8B" w:rsidRDefault="00C302ED">
      <w:r w:rsidRPr="002D7D0A">
        <w:t>The United Nations</w:t>
      </w:r>
      <w:r w:rsidR="008A5352" w:rsidRPr="002D7D0A">
        <w:t xml:space="preserve"> (UN)</w:t>
      </w:r>
      <w:r w:rsidRPr="002D7D0A">
        <w:t xml:space="preserve"> reiterates the </w:t>
      </w:r>
      <w:r w:rsidR="00A64145">
        <w:t xml:space="preserve">clarion call </w:t>
      </w:r>
      <w:r w:rsidRPr="002D7D0A">
        <w:t>for gender equality and the empowerment of women in society. The global platform offers a blueprint in which states can work towards achieving the fifth Sustainable Development Goal (SDG)</w:t>
      </w:r>
      <w:r w:rsidR="008A5352" w:rsidRPr="002D7D0A">
        <w:t>,</w:t>
      </w:r>
      <w:r w:rsidR="000A3C42" w:rsidRPr="002D7D0A">
        <w:t xml:space="preserve"> which is gender equality b</w:t>
      </w:r>
      <w:r w:rsidRPr="002D7D0A">
        <w:t>y 2030 (</w:t>
      </w:r>
      <w:r w:rsidR="008A5352" w:rsidRPr="002D7D0A">
        <w:t>UN</w:t>
      </w:r>
      <w:r w:rsidRPr="002D7D0A">
        <w:t>, 2015</w:t>
      </w:r>
      <w:r w:rsidR="00BB5D3D">
        <w:t>a</w:t>
      </w:r>
      <w:r w:rsidRPr="002D7D0A">
        <w:t xml:space="preserve">). </w:t>
      </w:r>
      <w:r w:rsidR="00AE2C64">
        <w:t>What will be important</w:t>
      </w:r>
      <w:r w:rsidRPr="002D7D0A">
        <w:t xml:space="preserve"> to the realisation of this SDG</w:t>
      </w:r>
      <w:r w:rsidR="0058571D" w:rsidRPr="002D7D0A">
        <w:t xml:space="preserve"> are the necessary resources</w:t>
      </w:r>
      <w:r w:rsidR="004A72F3">
        <w:t>,</w:t>
      </w:r>
      <w:r w:rsidR="00AD3A0D" w:rsidRPr="002D7D0A">
        <w:t xml:space="preserve"> comprising</w:t>
      </w:r>
      <w:r w:rsidR="0058571D" w:rsidRPr="002D7D0A">
        <w:t xml:space="preserve"> financial, institutional</w:t>
      </w:r>
      <w:r w:rsidR="008A5352" w:rsidRPr="002D7D0A">
        <w:t>,</w:t>
      </w:r>
      <w:r w:rsidR="0058571D" w:rsidRPr="002D7D0A">
        <w:t xml:space="preserve"> and human attributes that are to be directed specifically towards measures that will enhance the economic empowerment of women. Prior to the adoption of the SDGs, the Third International Conference for Financing for Development met in Addis Ababa, Ethiopia</w:t>
      </w:r>
      <w:r w:rsidR="008A5352" w:rsidRPr="002D7D0A">
        <w:t>,</w:t>
      </w:r>
      <w:r w:rsidR="0058571D" w:rsidRPr="002D7D0A">
        <w:t xml:space="preserve"> and adopted a global agenda that guides inclusive financing for development. The Addis Ababa action plan calls for the adoption of a “transformative policy and financing actions to accelerate implementation” </w:t>
      </w:r>
      <w:r w:rsidR="00AD3A0D" w:rsidRPr="002D7D0A">
        <w:t xml:space="preserve">of the global </w:t>
      </w:r>
      <w:r w:rsidR="00432FD6" w:rsidRPr="002D7D0A">
        <w:t xml:space="preserve">development </w:t>
      </w:r>
      <w:r w:rsidR="00AD3A0D" w:rsidRPr="002D7D0A">
        <w:t xml:space="preserve">initiative </w:t>
      </w:r>
      <w:r w:rsidR="0058571D" w:rsidRPr="002D7D0A">
        <w:t>(</w:t>
      </w:r>
      <w:r w:rsidR="004701DD" w:rsidRPr="00670866">
        <w:t>United Nations Department of Economic and Social Affairs</w:t>
      </w:r>
      <w:r w:rsidR="004701DD" w:rsidRPr="00DF0C31">
        <w:t xml:space="preserve"> </w:t>
      </w:r>
      <w:r w:rsidR="004701DD">
        <w:t>[</w:t>
      </w:r>
      <w:r w:rsidR="0058571D" w:rsidRPr="002D7D0A">
        <w:t>UNDESA</w:t>
      </w:r>
      <w:r w:rsidR="004701DD">
        <w:t>]</w:t>
      </w:r>
      <w:r w:rsidR="0058571D" w:rsidRPr="002D7D0A">
        <w:t>, 2015</w:t>
      </w:r>
      <w:r w:rsidR="00BB5D3D">
        <w:t>; UN, 2015b</w:t>
      </w:r>
      <w:r w:rsidR="0058571D" w:rsidRPr="002D7D0A">
        <w:t xml:space="preserve">). </w:t>
      </w:r>
    </w:p>
    <w:p w:rsidR="00C302ED" w:rsidRPr="002D7D0A" w:rsidRDefault="0058571D">
      <w:r w:rsidRPr="002D7D0A">
        <w:t>Gender activist</w:t>
      </w:r>
      <w:r w:rsidR="00AD3A0D" w:rsidRPr="002D7D0A">
        <w:t>s</w:t>
      </w:r>
      <w:r w:rsidRPr="002D7D0A">
        <w:t xml:space="preserve"> advocate for an “enabling environment for women’s empowerment and sustainable development” through the use of “strategies to support women’s entrepreneurs and women-owned businesses” (</w:t>
      </w:r>
      <w:r w:rsidR="003002D2" w:rsidRPr="002D7D0A">
        <w:t>United Nations Entity for Gender Equality and the Empowerment of Women</w:t>
      </w:r>
      <w:r w:rsidR="003002D2" w:rsidRPr="00D9655B">
        <w:t xml:space="preserve"> </w:t>
      </w:r>
      <w:r w:rsidR="003002D2">
        <w:t>[</w:t>
      </w:r>
      <w:r w:rsidRPr="002D7D0A">
        <w:t>UN Women</w:t>
      </w:r>
      <w:r w:rsidR="003002D2">
        <w:t>]</w:t>
      </w:r>
      <w:r w:rsidRPr="002D7D0A">
        <w:t xml:space="preserve">, 2012). </w:t>
      </w:r>
      <w:r w:rsidR="00754A8B">
        <w:t xml:space="preserve">However, there is evidence that during “public procurement in the context of trade liberalization” in Africa, “gender does not enter contractual agreements between the state and its suppliers as a normative category” (Nyeck, 2015:47). </w:t>
      </w:r>
      <w:r w:rsidR="00CE5613">
        <w:t>Even so,</w:t>
      </w:r>
      <w:r w:rsidR="00754A8B">
        <w:t xml:space="preserve"> </w:t>
      </w:r>
      <w:r w:rsidR="009462D1" w:rsidRPr="002D7D0A">
        <w:t>Weewauters (2007</w:t>
      </w:r>
      <w:r w:rsidR="00F9136B" w:rsidRPr="002D7D0A">
        <w:t>:27</w:t>
      </w:r>
      <w:r w:rsidR="009462D1" w:rsidRPr="002D7D0A">
        <w:t>)</w:t>
      </w:r>
      <w:r w:rsidR="00F9136B" w:rsidRPr="002D7D0A">
        <w:t xml:space="preserve"> provide</w:t>
      </w:r>
      <w:r w:rsidR="00CE5613">
        <w:t>s</w:t>
      </w:r>
      <w:r w:rsidR="00F9136B" w:rsidRPr="002D7D0A">
        <w:t xml:space="preserve"> a</w:t>
      </w:r>
      <w:r w:rsidR="00282789" w:rsidRPr="002D7D0A">
        <w:t xml:space="preserve"> model in which gender </w:t>
      </w:r>
      <w:r w:rsidR="00AD3A0D" w:rsidRPr="002D7D0A">
        <w:t xml:space="preserve">considerations for inclusivity </w:t>
      </w:r>
      <w:r w:rsidR="00282789" w:rsidRPr="002D7D0A">
        <w:t>can be mainstreamed</w:t>
      </w:r>
      <w:r w:rsidR="00F9136B" w:rsidRPr="002D7D0A">
        <w:t xml:space="preserve"> throughout the entire public procurement process. This model offers best practice that can be adopted locally.</w:t>
      </w:r>
    </w:p>
    <w:p w:rsidR="00011547" w:rsidRPr="002D7D0A" w:rsidRDefault="0058571D">
      <w:r w:rsidRPr="002D7D0A">
        <w:t xml:space="preserve">In South Africa, the </w:t>
      </w:r>
      <w:r w:rsidR="00D37647">
        <w:t>imperative</w:t>
      </w:r>
      <w:r w:rsidRPr="002D7D0A">
        <w:t xml:space="preserve"> for empowerment of women is emphasised in the national gender machinery that </w:t>
      </w:r>
      <w:r w:rsidR="008A5352" w:rsidRPr="002D7D0A">
        <w:t>aims</w:t>
      </w:r>
      <w:r w:rsidRPr="002D7D0A">
        <w:t xml:space="preserve"> to enhance the realisation of this noble agenda. </w:t>
      </w:r>
      <w:r w:rsidR="00BC77EE" w:rsidRPr="002D7D0A">
        <w:t>Procurement processes rely on supply</w:t>
      </w:r>
      <w:r w:rsidR="00CE097A" w:rsidRPr="008D248E">
        <w:t xml:space="preserve"> </w:t>
      </w:r>
      <w:r w:rsidR="00BC77EE" w:rsidRPr="002D7D0A">
        <w:t>chain processes to effect gender mainstreaming measure</w:t>
      </w:r>
      <w:r w:rsidR="00AD3A0D" w:rsidRPr="002D7D0A">
        <w:t>s</w:t>
      </w:r>
      <w:r w:rsidR="00BC77EE" w:rsidRPr="002D7D0A">
        <w:t xml:space="preserve"> to realise the mandate. </w:t>
      </w:r>
      <w:r w:rsidRPr="002D7D0A">
        <w:t xml:space="preserve">The constitutional </w:t>
      </w:r>
      <w:r w:rsidR="00AD3A0D" w:rsidRPr="002D7D0A">
        <w:t>directive</w:t>
      </w:r>
      <w:r w:rsidRPr="002D7D0A">
        <w:t xml:space="preserve"> for gender equality and national </w:t>
      </w:r>
      <w:r w:rsidR="00D02982" w:rsidRPr="002D7D0A">
        <w:t>policies</w:t>
      </w:r>
      <w:r w:rsidRPr="002D7D0A">
        <w:t xml:space="preserve"> require that all spheres of government, state</w:t>
      </w:r>
      <w:r w:rsidR="00D02982" w:rsidRPr="002D7D0A">
        <w:t>-</w:t>
      </w:r>
      <w:r w:rsidRPr="002D7D0A">
        <w:t>owned enterprises</w:t>
      </w:r>
      <w:r w:rsidR="00D9655B" w:rsidRPr="00D9655B">
        <w:t xml:space="preserve"> (SOEs)</w:t>
      </w:r>
      <w:r w:rsidR="008A5352" w:rsidRPr="002D7D0A">
        <w:t>,</w:t>
      </w:r>
      <w:r w:rsidRPr="002D7D0A">
        <w:t xml:space="preserve"> and municipal entities conform t</w:t>
      </w:r>
      <w:r w:rsidR="00011547" w:rsidRPr="002D7D0A">
        <w:t>hrough</w:t>
      </w:r>
      <w:r w:rsidRPr="002D7D0A">
        <w:t xml:space="preserve"> preferential procurement </w:t>
      </w:r>
      <w:r w:rsidR="00011547" w:rsidRPr="002D7D0A">
        <w:t xml:space="preserve">in the </w:t>
      </w:r>
      <w:r w:rsidRPr="002D7D0A">
        <w:t xml:space="preserve">sourcing </w:t>
      </w:r>
      <w:r w:rsidR="00011547" w:rsidRPr="002D7D0A">
        <w:t xml:space="preserve">of </w:t>
      </w:r>
      <w:r w:rsidRPr="002D7D0A">
        <w:t xml:space="preserve">goods and services. </w:t>
      </w:r>
      <w:r w:rsidR="00282789" w:rsidRPr="002D7D0A">
        <w:t xml:space="preserve">Ambe </w:t>
      </w:r>
      <w:r w:rsidR="008A5352" w:rsidRPr="002D7D0A">
        <w:t xml:space="preserve">and </w:t>
      </w:r>
      <w:r w:rsidR="00282789" w:rsidRPr="002D7D0A">
        <w:t>Badenhorst-Weiss (2012:249-250) identif</w:t>
      </w:r>
      <w:r w:rsidR="008A5352" w:rsidRPr="002D7D0A">
        <w:t>ied</w:t>
      </w:r>
      <w:r w:rsidR="00282789" w:rsidRPr="002D7D0A">
        <w:t xml:space="preserve"> specific procurement challenges in the South African public sector</w:t>
      </w:r>
      <w:r w:rsidR="008A5352" w:rsidRPr="002D7D0A">
        <w:t>,</w:t>
      </w:r>
      <w:r w:rsidR="00282789" w:rsidRPr="002D7D0A">
        <w:t xml:space="preserve"> namely </w:t>
      </w:r>
      <w:r w:rsidR="00DD7716">
        <w:t xml:space="preserve">a </w:t>
      </w:r>
      <w:r w:rsidR="00282789" w:rsidRPr="002D7D0A">
        <w:t>lack of proper skills, knowledge</w:t>
      </w:r>
      <w:r w:rsidR="008A5352" w:rsidRPr="002D7D0A">
        <w:t>,</w:t>
      </w:r>
      <w:r w:rsidR="00282789" w:rsidRPr="002D7D0A">
        <w:t xml:space="preserve"> and capacity</w:t>
      </w:r>
      <w:r w:rsidR="00DD7716">
        <w:t xml:space="preserve"> to manage procurement processes</w:t>
      </w:r>
      <w:r w:rsidR="00282789" w:rsidRPr="002D7D0A">
        <w:t>; non-compliance with policy and regulations that relate to supply chain management</w:t>
      </w:r>
      <w:r w:rsidR="00193F9D">
        <w:t xml:space="preserve"> (SCM)</w:t>
      </w:r>
      <w:r w:rsidR="00282789" w:rsidRPr="002D7D0A">
        <w:t>; inadequate planning and the linking of demand to the budget; accountability, fraud</w:t>
      </w:r>
      <w:r w:rsidR="008A5352" w:rsidRPr="002D7D0A">
        <w:t>,</w:t>
      </w:r>
      <w:r w:rsidR="00282789" w:rsidRPr="002D7D0A">
        <w:t xml:space="preserve"> and corruption; inadequate monitoring and evaluation of the procurement process; unethical behaviour; ineffectiveness of </w:t>
      </w:r>
      <w:r w:rsidR="00282789" w:rsidRPr="002D7D0A">
        <w:lastRenderedPageBreak/>
        <w:t xml:space="preserve">affirmative action policies; and decentralisation of the procurement policy. </w:t>
      </w:r>
      <w:r w:rsidR="00526FA9" w:rsidRPr="002D7D0A">
        <w:t>The challenges are underpinned by contestations to address inequalities that are a legacy of apartheid.</w:t>
      </w:r>
      <w:r w:rsidR="004A72F3">
        <w:t xml:space="preserve"> Poverty and</w:t>
      </w:r>
      <w:r w:rsidR="00526FA9" w:rsidRPr="002D7D0A">
        <w:t xml:space="preserve"> </w:t>
      </w:r>
      <w:r w:rsidR="004A72F3">
        <w:t>i</w:t>
      </w:r>
      <w:r w:rsidR="00526FA9" w:rsidRPr="002D7D0A">
        <w:t>nequalities of race</w:t>
      </w:r>
      <w:r w:rsidR="008D248E">
        <w:t xml:space="preserve"> and</w:t>
      </w:r>
      <w:r w:rsidR="00526FA9" w:rsidRPr="002D7D0A">
        <w:t xml:space="preserve"> income often supplant the gender debate in South Africa</w:t>
      </w:r>
      <w:r w:rsidR="008A5352" w:rsidRPr="002D7D0A">
        <w:t>’s</w:t>
      </w:r>
      <w:r w:rsidR="00526FA9" w:rsidRPr="002D7D0A">
        <w:t xml:space="preserve"> juvenile democracy</w:t>
      </w:r>
      <w:r w:rsidR="00011547" w:rsidRPr="002D7D0A">
        <w:t xml:space="preserve"> </w:t>
      </w:r>
      <w:r w:rsidR="008A5352" w:rsidRPr="002D7D0A">
        <w:t xml:space="preserve">– </w:t>
      </w:r>
      <w:r w:rsidR="00526FA9" w:rsidRPr="002D7D0A">
        <w:t xml:space="preserve">a concern noted by </w:t>
      </w:r>
      <w:r w:rsidR="008917B5" w:rsidRPr="002D7D0A">
        <w:t>Mannel (2012:425).</w:t>
      </w:r>
    </w:p>
    <w:p w:rsidR="000455EA" w:rsidRPr="002D7D0A" w:rsidRDefault="008917B5">
      <w:r w:rsidRPr="002D7D0A">
        <w:t xml:space="preserve">Despite this, </w:t>
      </w:r>
      <w:r w:rsidR="004D414F">
        <w:t>municipalities</w:t>
      </w:r>
      <w:r w:rsidRPr="002D7D0A">
        <w:t xml:space="preserve"> remain a focal juncture for service delivery because of the proximity of the citizens to </w:t>
      </w:r>
      <w:r w:rsidR="008A5352" w:rsidRPr="002D7D0A">
        <w:t xml:space="preserve">the </w:t>
      </w:r>
      <w:r w:rsidRPr="002D7D0A">
        <w:t xml:space="preserve">government. Procurement for metropolitan municipalities in turn takes </w:t>
      </w:r>
      <w:r w:rsidR="000455EA" w:rsidRPr="00DF0C31">
        <w:t xml:space="preserve">on </w:t>
      </w:r>
      <w:r w:rsidRPr="00DF0C31">
        <w:t xml:space="preserve">significance because in fulfilling their constitutional mandate, the municipalities </w:t>
      </w:r>
      <w:r w:rsidR="000455EA" w:rsidRPr="00DF0C31">
        <w:t xml:space="preserve">will </w:t>
      </w:r>
      <w:r w:rsidRPr="00DF0C31">
        <w:t xml:space="preserve">also impact local economic development </w:t>
      </w:r>
      <w:r w:rsidR="00975FCF">
        <w:t xml:space="preserve">(LED) </w:t>
      </w:r>
      <w:r w:rsidRPr="00DF0C31">
        <w:t xml:space="preserve">and firms operating within the municipal jurisdiction. </w:t>
      </w:r>
      <w:r w:rsidR="00841069" w:rsidRPr="002D7D0A">
        <w:t>D</w:t>
      </w:r>
      <w:r w:rsidR="00394C18" w:rsidRPr="002D7D0A">
        <w:t xml:space="preserve">ecentralised procurement should </w:t>
      </w:r>
      <w:r w:rsidR="000455EA" w:rsidRPr="002D7D0A">
        <w:t xml:space="preserve">therefore be positioned by local authorities so that it can </w:t>
      </w:r>
      <w:r w:rsidR="00394C18" w:rsidRPr="002D7D0A">
        <w:t xml:space="preserve">provide “better responsiveness to purchasing needs” because of the </w:t>
      </w:r>
      <w:r w:rsidR="00EF7A1D" w:rsidRPr="002D7D0A">
        <w:t xml:space="preserve">“understanding of unique local </w:t>
      </w:r>
      <w:r w:rsidR="00EF7A1D" w:rsidRPr="00FF132E">
        <w:t>needs”</w:t>
      </w:r>
      <w:r w:rsidR="008A5352" w:rsidRPr="00FF132E">
        <w:t>,</w:t>
      </w:r>
      <w:r w:rsidR="00EF7A1D" w:rsidRPr="00FF132E">
        <w:t xml:space="preserve"> as well as the proximity to “suppliers and</w:t>
      </w:r>
      <w:r w:rsidR="00BC77EE" w:rsidRPr="00FF132E">
        <w:t xml:space="preserve"> taking ownership of decisions that impact on one’s own budget” (Handfield, Monczka, Guinipero &amp; Patterson</w:t>
      </w:r>
      <w:r w:rsidR="008A5352" w:rsidRPr="00FF132E">
        <w:t>,</w:t>
      </w:r>
      <w:r w:rsidR="00BC77EE" w:rsidRPr="00FF132E">
        <w:t xml:space="preserve"> </w:t>
      </w:r>
      <w:r w:rsidR="002E5F39" w:rsidRPr="00FF132E">
        <w:t>2011</w:t>
      </w:r>
      <w:r w:rsidR="004A72F3" w:rsidRPr="00FF132E">
        <w:t xml:space="preserve">, </w:t>
      </w:r>
      <w:r w:rsidR="00BC77EE" w:rsidRPr="00FF132E">
        <w:t>as cited in Ambe &amp; Badenhorst-Weiss</w:t>
      </w:r>
      <w:r w:rsidR="008A5352" w:rsidRPr="00FF132E">
        <w:t>,</w:t>
      </w:r>
      <w:r w:rsidR="00BC77EE" w:rsidRPr="00FF132E">
        <w:t xml:space="preserve"> 2012:253). </w:t>
      </w:r>
      <w:r w:rsidR="004D414F">
        <w:t xml:space="preserve">Modernisation and technology gives an opportunity for government to improve the efficacy of procurement processes. More </w:t>
      </w:r>
      <w:r w:rsidR="00841069" w:rsidRPr="00FF132E">
        <w:t xml:space="preserve">robust restructuring is also required in </w:t>
      </w:r>
      <w:r w:rsidR="00841069" w:rsidRPr="00DF0C31">
        <w:t>municipalities to be more responsive in enhancing service delivery. This was confirmed by a</w:t>
      </w:r>
      <w:r w:rsidR="002E5F39">
        <w:t xml:space="preserve"> previous </w:t>
      </w:r>
      <w:r w:rsidR="00BC77EE" w:rsidRPr="002D7D0A">
        <w:t xml:space="preserve">study </w:t>
      </w:r>
      <w:r w:rsidR="00841069" w:rsidRPr="002D7D0A">
        <w:t>that found that</w:t>
      </w:r>
      <w:r w:rsidR="00BC77EE" w:rsidRPr="002D7D0A">
        <w:t xml:space="preserve"> e-</w:t>
      </w:r>
      <w:r w:rsidR="00172E21" w:rsidRPr="002D7D0A">
        <w:t>procurement</w:t>
      </w:r>
      <w:r w:rsidR="00BC77EE" w:rsidRPr="002D7D0A">
        <w:t xml:space="preserve"> in South Africa has not </w:t>
      </w:r>
      <w:r w:rsidR="000B76A2" w:rsidRPr="002D7D0A">
        <w:t xml:space="preserve">seen an </w:t>
      </w:r>
      <w:r w:rsidR="00BC77EE" w:rsidRPr="002D7D0A">
        <w:t>improve</w:t>
      </w:r>
      <w:r w:rsidR="000B76A2" w:rsidRPr="002D7D0A">
        <w:t xml:space="preserve">ment in </w:t>
      </w:r>
      <w:r w:rsidR="00BC77EE" w:rsidRPr="002D7D0A">
        <w:t xml:space="preserve">the dissemination of gendered </w:t>
      </w:r>
      <w:r w:rsidR="00172E21" w:rsidRPr="002D7D0A">
        <w:t>data</w:t>
      </w:r>
      <w:r w:rsidR="008A5352" w:rsidRPr="002D7D0A">
        <w:t xml:space="preserve"> (</w:t>
      </w:r>
      <w:r w:rsidR="002E5F39">
        <w:t>Kithatu-Kiwekete &amp; Vyas-Doogapersad, 2017</w:t>
      </w:r>
      <w:r w:rsidR="008A5352" w:rsidRPr="002D7D0A">
        <w:t>)</w:t>
      </w:r>
      <w:r w:rsidR="00172E21" w:rsidRPr="002D7D0A">
        <w:t>. Th</w:t>
      </w:r>
      <w:r w:rsidR="002E5F39">
        <w:t>e</w:t>
      </w:r>
      <w:r w:rsidR="00172E21" w:rsidRPr="002D7D0A">
        <w:t xml:space="preserve"> dearth of information presents an opportunity to explore further the experience of gender mainstreaming in municipal procurement. </w:t>
      </w:r>
    </w:p>
    <w:p w:rsidR="0058571D" w:rsidRPr="002D7D0A" w:rsidRDefault="004B126B">
      <w:r w:rsidRPr="002D7D0A">
        <w:t xml:space="preserve">This article </w:t>
      </w:r>
      <w:r w:rsidR="00FC350D">
        <w:t>examin</w:t>
      </w:r>
      <w:r w:rsidRPr="002D7D0A">
        <w:t>e</w:t>
      </w:r>
      <w:r w:rsidR="008A5352" w:rsidRPr="002D7D0A">
        <w:t>s</w:t>
      </w:r>
      <w:r w:rsidRPr="002D7D0A">
        <w:t xml:space="preserve"> the experience of municipal procurement for the C</w:t>
      </w:r>
      <w:r w:rsidR="00841069" w:rsidRPr="002D7D0A">
        <w:t xml:space="preserve">ity of </w:t>
      </w:r>
      <w:r w:rsidRPr="002D7D0A">
        <w:t>J</w:t>
      </w:r>
      <w:r w:rsidR="00841069" w:rsidRPr="002D7D0A">
        <w:t xml:space="preserve">ohannesburg </w:t>
      </w:r>
      <w:r w:rsidRPr="002D7D0A">
        <w:t>M</w:t>
      </w:r>
      <w:r w:rsidR="00841069" w:rsidRPr="002D7D0A">
        <w:t xml:space="preserve">etropolitan </w:t>
      </w:r>
      <w:r w:rsidRPr="002D7D0A">
        <w:t>M</w:t>
      </w:r>
      <w:r w:rsidR="00841069" w:rsidRPr="002D7D0A">
        <w:t>unicipality</w:t>
      </w:r>
      <w:r w:rsidR="00D9655B" w:rsidRPr="006763FB">
        <w:t xml:space="preserve"> (CJMM)</w:t>
      </w:r>
      <w:r w:rsidRPr="002D7D0A">
        <w:t xml:space="preserve"> </w:t>
      </w:r>
      <w:r w:rsidR="000455EA" w:rsidRPr="002D7D0A">
        <w:t>in order to determine how far the city has progresse</w:t>
      </w:r>
      <w:r w:rsidR="008A5352" w:rsidRPr="002D7D0A">
        <w:t>d</w:t>
      </w:r>
      <w:r w:rsidR="000455EA" w:rsidRPr="002D7D0A">
        <w:t xml:space="preserve"> in terms of access in</w:t>
      </w:r>
      <w:r w:rsidRPr="002D7D0A">
        <w:t xml:space="preserve"> promoting economic equity for female </w:t>
      </w:r>
      <w:r w:rsidR="00F64C4D" w:rsidRPr="002D7D0A">
        <w:t>entrepreneurs</w:t>
      </w:r>
      <w:r w:rsidR="00371F94" w:rsidRPr="002D7D0A">
        <w:t xml:space="preserve"> and </w:t>
      </w:r>
      <w:r w:rsidR="00D9655B">
        <w:t>women</w:t>
      </w:r>
      <w:r w:rsidR="008A5352" w:rsidRPr="002D7D0A">
        <w:t>-</w:t>
      </w:r>
      <w:r w:rsidR="00371F94" w:rsidRPr="002D7D0A">
        <w:t>owned businesses</w:t>
      </w:r>
      <w:r w:rsidRPr="002D7D0A">
        <w:t>.</w:t>
      </w:r>
      <w:r w:rsidR="00841069" w:rsidRPr="002D7D0A">
        <w:t xml:space="preserve"> The </w:t>
      </w:r>
      <w:r w:rsidR="00A63588" w:rsidRPr="002D7D0A">
        <w:t>city contributes significantly to the national economy as an important location for businesses</w:t>
      </w:r>
      <w:r w:rsidR="000455EA" w:rsidRPr="002D7D0A">
        <w:t xml:space="preserve"> both local</w:t>
      </w:r>
      <w:r w:rsidR="008A5352" w:rsidRPr="002D7D0A">
        <w:t>ly</w:t>
      </w:r>
      <w:r w:rsidR="000455EA" w:rsidRPr="002D7D0A">
        <w:t xml:space="preserve"> and international</w:t>
      </w:r>
      <w:r w:rsidR="008A5352" w:rsidRPr="002D7D0A">
        <w:t>ly</w:t>
      </w:r>
      <w:r w:rsidR="00A63588" w:rsidRPr="002D7D0A">
        <w:t xml:space="preserve"> (</w:t>
      </w:r>
      <w:r w:rsidR="00700EE6">
        <w:t>City of Johannesburg [CoJ</w:t>
      </w:r>
      <w:r w:rsidR="00700EE6" w:rsidRPr="006763FB">
        <w:t>]</w:t>
      </w:r>
      <w:r w:rsidR="00A63588" w:rsidRPr="002D7D0A">
        <w:t>, 2018:2).</w:t>
      </w:r>
      <w:r w:rsidR="000455EA" w:rsidRPr="002D7D0A">
        <w:t xml:space="preserve"> This positioning is important for women entrepreneurs who intend to do business with the municipality </w:t>
      </w:r>
      <w:r w:rsidR="008A5352" w:rsidRPr="002D7D0A">
        <w:t>and</w:t>
      </w:r>
      <w:r w:rsidR="000455EA" w:rsidRPr="002D7D0A">
        <w:t xml:space="preserve"> other spheres of government.</w:t>
      </w:r>
    </w:p>
    <w:p w:rsidR="00DF226F" w:rsidRDefault="00DF226F">
      <w:r w:rsidRPr="002D7D0A">
        <w:t>T</w:t>
      </w:r>
      <w:r w:rsidR="008104F7" w:rsidRPr="002D7D0A">
        <w:t>he article is divided into four sections</w:t>
      </w:r>
      <w:r w:rsidR="000455EA" w:rsidRPr="002D7D0A">
        <w:t>. Th</w:t>
      </w:r>
      <w:r w:rsidR="008104F7" w:rsidRPr="002D7D0A">
        <w:t xml:space="preserve">e first section offers an explanation of the </w:t>
      </w:r>
      <w:r w:rsidR="00BA05A6" w:rsidRPr="002D7D0A">
        <w:t>concepts and</w:t>
      </w:r>
      <w:r w:rsidR="008104F7" w:rsidRPr="002D7D0A">
        <w:t xml:space="preserve"> the methodology employed for analysis</w:t>
      </w:r>
      <w:r w:rsidR="000455EA" w:rsidRPr="002D7D0A">
        <w:t>. T</w:t>
      </w:r>
      <w:r w:rsidR="008104F7" w:rsidRPr="002D7D0A">
        <w:t xml:space="preserve">his is followed by </w:t>
      </w:r>
      <w:r w:rsidR="000455EA" w:rsidRPr="002D7D0A">
        <w:t>a</w:t>
      </w:r>
      <w:r w:rsidR="00320431" w:rsidRPr="002D7D0A">
        <w:t xml:space="preserve">n overview of the legal instruments that prescribe preferential procurement </w:t>
      </w:r>
      <w:r w:rsidR="000455EA" w:rsidRPr="002D7D0A">
        <w:t xml:space="preserve">and the procurement process </w:t>
      </w:r>
      <w:r w:rsidR="00320431" w:rsidRPr="002D7D0A">
        <w:t>for Johannesburg</w:t>
      </w:r>
      <w:r w:rsidR="000455EA" w:rsidRPr="002D7D0A">
        <w:t xml:space="preserve">. </w:t>
      </w:r>
      <w:r w:rsidR="004A72F3">
        <w:t>Thereafter the</w:t>
      </w:r>
      <w:r w:rsidR="008104F7" w:rsidRPr="002D7D0A">
        <w:t xml:space="preserve"> finding</w:t>
      </w:r>
      <w:r w:rsidR="00320431" w:rsidRPr="002D7D0A">
        <w:t>s</w:t>
      </w:r>
      <w:r w:rsidR="008104F7" w:rsidRPr="002D7D0A">
        <w:t xml:space="preserve"> on gender mainstreaming in Johannesburg’s procurement</w:t>
      </w:r>
      <w:r w:rsidR="00320431" w:rsidRPr="002D7D0A">
        <w:t xml:space="preserve"> </w:t>
      </w:r>
      <w:r w:rsidR="004A72F3">
        <w:t>are discussed</w:t>
      </w:r>
      <w:r w:rsidR="000455EA" w:rsidRPr="002D7D0A">
        <w:t xml:space="preserve">. The </w:t>
      </w:r>
      <w:r w:rsidR="008104F7" w:rsidRPr="002D7D0A">
        <w:t xml:space="preserve">final section </w:t>
      </w:r>
      <w:r w:rsidR="008A5352" w:rsidRPr="002D7D0A">
        <w:lastRenderedPageBreak/>
        <w:t xml:space="preserve">provides </w:t>
      </w:r>
      <w:r w:rsidR="004A72F3">
        <w:t>a</w:t>
      </w:r>
      <w:r w:rsidR="004A72F3" w:rsidRPr="002D7D0A">
        <w:t xml:space="preserve"> </w:t>
      </w:r>
      <w:r w:rsidR="008104F7" w:rsidRPr="002D7D0A">
        <w:t>conclusion and recommendation</w:t>
      </w:r>
      <w:r w:rsidR="008A5352" w:rsidRPr="002D7D0A">
        <w:t>s</w:t>
      </w:r>
      <w:r w:rsidR="008104F7" w:rsidRPr="002D7D0A">
        <w:t xml:space="preserve"> for enhancing the </w:t>
      </w:r>
      <w:r w:rsidR="000455EA" w:rsidRPr="002D7D0A">
        <w:t xml:space="preserve">economic </w:t>
      </w:r>
      <w:r w:rsidR="008104F7" w:rsidRPr="002D7D0A">
        <w:t>empowerment of women</w:t>
      </w:r>
      <w:r w:rsidR="000455EA" w:rsidRPr="002D7D0A">
        <w:t>-owned business</w:t>
      </w:r>
      <w:r w:rsidR="008104F7" w:rsidRPr="002D7D0A">
        <w:t xml:space="preserve"> in municipal procurement.</w:t>
      </w:r>
    </w:p>
    <w:p w:rsidR="00AF3741" w:rsidRPr="002D7D0A" w:rsidRDefault="00FB6AC8" w:rsidP="009351EC">
      <w:pPr>
        <w:rPr>
          <w:b/>
        </w:rPr>
      </w:pPr>
      <w:r w:rsidRPr="002D7D0A">
        <w:rPr>
          <w:b/>
        </w:rPr>
        <w:t>1.1</w:t>
      </w:r>
      <w:r w:rsidR="00D9655B">
        <w:rPr>
          <w:b/>
        </w:rPr>
        <w:t>.</w:t>
      </w:r>
      <w:r w:rsidRPr="002D7D0A">
        <w:rPr>
          <w:b/>
        </w:rPr>
        <w:t xml:space="preserve"> </w:t>
      </w:r>
      <w:r w:rsidR="00911CEF" w:rsidRPr="002D7D0A">
        <w:rPr>
          <w:b/>
        </w:rPr>
        <w:t>C</w:t>
      </w:r>
      <w:r w:rsidR="00D9655B" w:rsidRPr="00D9655B">
        <w:rPr>
          <w:b/>
        </w:rPr>
        <w:t>onceptual clarifications</w:t>
      </w:r>
    </w:p>
    <w:p w:rsidR="00C43EEB" w:rsidRPr="002D7D0A" w:rsidRDefault="00EC05C3" w:rsidP="002D7D0A">
      <w:pPr>
        <w:spacing w:after="120"/>
        <w:rPr>
          <w:b/>
        </w:rPr>
      </w:pPr>
      <w:r w:rsidRPr="002D7D0A">
        <w:t>Too often government policies and programmes “continue to contribute to inequalities between women and men” because there has been “insufficient attention to gender analysis”</w:t>
      </w:r>
      <w:r w:rsidR="008A5352" w:rsidRPr="002D7D0A">
        <w:t>,</w:t>
      </w:r>
      <w:r w:rsidRPr="002D7D0A">
        <w:t xml:space="preserve"> such that “women’s contributions and concerns remain too often ignored in economic structures” (Commission for Gender Equality, 2014:284). </w:t>
      </w:r>
      <w:r w:rsidR="00D61579" w:rsidRPr="002D7D0A">
        <w:t xml:space="preserve">Gender </w:t>
      </w:r>
      <w:r w:rsidR="00B229E1" w:rsidRPr="002D7D0A">
        <w:t>m</w:t>
      </w:r>
      <w:r w:rsidR="00D61579" w:rsidRPr="002D7D0A">
        <w:t>ainstreaming</w:t>
      </w:r>
      <w:r w:rsidR="00B229E1" w:rsidRPr="006763FB">
        <w:rPr>
          <w:rFonts w:eastAsia="MS Mincho"/>
        </w:rPr>
        <w:t xml:space="preserve"> entails </w:t>
      </w:r>
      <w:r w:rsidR="004E0835" w:rsidRPr="006763FB">
        <w:rPr>
          <w:rFonts w:eastAsia="MS Mincho"/>
        </w:rPr>
        <w:t>“</w:t>
      </w:r>
      <w:r w:rsidR="00B229E1" w:rsidRPr="006763FB">
        <w:rPr>
          <w:rFonts w:eastAsia="MS Mincho"/>
        </w:rPr>
        <w:t>bringing the perceptions, experience, knowledge</w:t>
      </w:r>
      <w:r w:rsidR="00AA5635" w:rsidRPr="002D7D0A">
        <w:rPr>
          <w:rFonts w:eastAsia="MS Mincho"/>
        </w:rPr>
        <w:t xml:space="preserve"> </w:t>
      </w:r>
      <w:r w:rsidR="00B229E1" w:rsidRPr="002D7D0A">
        <w:rPr>
          <w:rFonts w:eastAsia="MS Mincho"/>
        </w:rPr>
        <w:t>and interests of women as well as men</w:t>
      </w:r>
      <w:r w:rsidR="00AA5635" w:rsidRPr="002D7D0A">
        <w:rPr>
          <w:rFonts w:eastAsia="MS Mincho"/>
        </w:rPr>
        <w:t>” to</w:t>
      </w:r>
      <w:r w:rsidR="004E0835" w:rsidRPr="002D7D0A">
        <w:rPr>
          <w:rFonts w:eastAsia="MS Mincho"/>
        </w:rPr>
        <w:t xml:space="preserve"> effect “</w:t>
      </w:r>
      <w:r w:rsidR="00B229E1" w:rsidRPr="002D7D0A">
        <w:rPr>
          <w:rFonts w:eastAsia="MS Mincho"/>
        </w:rPr>
        <w:t>policy-making, planning</w:t>
      </w:r>
      <w:r w:rsidR="00AA5635" w:rsidRPr="002D7D0A">
        <w:rPr>
          <w:rFonts w:eastAsia="MS Mincho"/>
        </w:rPr>
        <w:t xml:space="preserve"> </w:t>
      </w:r>
      <w:r w:rsidR="00B229E1" w:rsidRPr="002D7D0A">
        <w:rPr>
          <w:rFonts w:eastAsia="MS Mincho"/>
        </w:rPr>
        <w:t>and decision-making</w:t>
      </w:r>
      <w:r w:rsidR="004E0835" w:rsidRPr="002D7D0A">
        <w:rPr>
          <w:rFonts w:eastAsia="MS Mincho"/>
        </w:rPr>
        <w:t>” at all levels in order “to achieve gender equality”</w:t>
      </w:r>
      <w:r w:rsidR="00911CEF" w:rsidRPr="002D7D0A">
        <w:rPr>
          <w:rFonts w:eastAsia="MS Mincho"/>
        </w:rPr>
        <w:t xml:space="preserve"> </w:t>
      </w:r>
      <w:r w:rsidR="004E0835" w:rsidRPr="002D7D0A">
        <w:rPr>
          <w:rFonts w:eastAsia="MS Mincho"/>
        </w:rPr>
        <w:t>(</w:t>
      </w:r>
      <w:r w:rsidR="00DF0C31" w:rsidRPr="002D7D0A">
        <w:rPr>
          <w:rFonts w:eastAsia="MS Mincho"/>
        </w:rPr>
        <w:t>UN</w:t>
      </w:r>
      <w:r w:rsidR="004E0835" w:rsidRPr="002D7D0A">
        <w:rPr>
          <w:rFonts w:eastAsia="MS Mincho"/>
        </w:rPr>
        <w:t>, 2002:1)</w:t>
      </w:r>
      <w:r w:rsidR="00B229E1" w:rsidRPr="002D7D0A">
        <w:rPr>
          <w:rFonts w:ascii="TimesNewRoman" w:eastAsia="MS Mincho" w:hAnsi="TimesNewRoman" w:cs="TimesNewRoman"/>
        </w:rPr>
        <w:t>.</w:t>
      </w:r>
      <w:r w:rsidR="00AA5635" w:rsidRPr="002D7D0A">
        <w:rPr>
          <w:rFonts w:ascii="TimesNewRoman" w:eastAsia="MS Mincho" w:hAnsi="TimesNewRoman" w:cs="TimesNewRoman"/>
        </w:rPr>
        <w:t xml:space="preserve"> </w:t>
      </w:r>
      <w:r w:rsidR="002C7997" w:rsidRPr="002D7D0A">
        <w:rPr>
          <w:rFonts w:ascii="TimesNewRoman" w:eastAsia="MS Mincho" w:hAnsi="TimesNewRoman" w:cs="TimesNewRoman"/>
        </w:rPr>
        <w:t>İt may also be viewed as a “goal</w:t>
      </w:r>
      <w:r w:rsidR="00DF0C31" w:rsidRPr="002D7D0A">
        <w:rPr>
          <w:rFonts w:ascii="TimesNewRoman" w:eastAsia="MS Mincho" w:hAnsi="TimesNewRoman" w:cs="TimesNewRoman"/>
        </w:rPr>
        <w:t>-</w:t>
      </w:r>
      <w:r w:rsidR="002C7997" w:rsidRPr="002D7D0A">
        <w:rPr>
          <w:rFonts w:ascii="TimesNewRoman" w:eastAsia="MS Mincho" w:hAnsi="TimesNewRoman" w:cs="TimesNewRoman"/>
        </w:rPr>
        <w:t xml:space="preserve">oriented process that recognises that most institutions consciously and unconsciously serve the interests of men” and thus encourages </w:t>
      </w:r>
      <w:r w:rsidR="00B80152" w:rsidRPr="002D7D0A">
        <w:rPr>
          <w:rFonts w:ascii="TimesNewRoman" w:eastAsia="MS Mincho" w:hAnsi="TimesNewRoman" w:cs="TimesNewRoman"/>
        </w:rPr>
        <w:t xml:space="preserve">“institutions to adopt a gender perspective in transforming </w:t>
      </w:r>
      <w:r w:rsidR="00DF0C31" w:rsidRPr="006763FB">
        <w:rPr>
          <w:rFonts w:ascii="TimesNewRoman" w:eastAsia="MS Mincho" w:hAnsi="TimesNewRoman" w:cs="TimesNewRoman"/>
        </w:rPr>
        <w:t>themselves</w:t>
      </w:r>
      <w:r w:rsidR="00B80152" w:rsidRPr="006763FB">
        <w:rPr>
          <w:rFonts w:ascii="TimesNewRoman" w:eastAsia="MS Mincho" w:hAnsi="TimesNewRoman" w:cs="TimesNewRoman"/>
        </w:rPr>
        <w:t xml:space="preserve">” (Commission for Gender Equality, 2014:292). </w:t>
      </w:r>
      <w:r w:rsidR="00AA5635" w:rsidRPr="006763FB">
        <w:rPr>
          <w:rFonts w:ascii="TimesNewRoman" w:eastAsia="MS Mincho" w:hAnsi="TimesNewRoman" w:cs="TimesNewRoman"/>
        </w:rPr>
        <w:t>This practice becomes useful in the adoption of gender</w:t>
      </w:r>
      <w:r w:rsidR="004A72F3">
        <w:rPr>
          <w:rFonts w:ascii="TimesNewRoman" w:eastAsia="MS Mincho" w:hAnsi="TimesNewRoman" w:cs="TimesNewRoman"/>
        </w:rPr>
        <w:t>-</w:t>
      </w:r>
      <w:r w:rsidR="00AA5635" w:rsidRPr="006763FB">
        <w:rPr>
          <w:rFonts w:ascii="TimesNewRoman" w:eastAsia="MS Mincho" w:hAnsi="TimesNewRoman" w:cs="TimesNewRoman"/>
        </w:rPr>
        <w:t>sensitive legislation and the establishment of gender machinery to advance the cause for equality.</w:t>
      </w:r>
      <w:r w:rsidR="00C43EEB" w:rsidRPr="006763FB">
        <w:rPr>
          <w:rFonts w:ascii="TimesNewRoman" w:eastAsia="MS Mincho" w:hAnsi="TimesNewRoman" w:cs="TimesNewRoman"/>
        </w:rPr>
        <w:t xml:space="preserve"> </w:t>
      </w:r>
    </w:p>
    <w:p w:rsidR="000A3C42" w:rsidRPr="002D7D0A" w:rsidRDefault="00911CEF" w:rsidP="009351EC">
      <w:pPr>
        <w:autoSpaceDE w:val="0"/>
        <w:autoSpaceDN w:val="0"/>
        <w:adjustRightInd w:val="0"/>
        <w:spacing w:before="0"/>
        <w:contextualSpacing/>
      </w:pPr>
      <w:r w:rsidRPr="00DF0C31">
        <w:rPr>
          <w:rFonts w:ascii="TimesNewRoman" w:eastAsia="MS Mincho" w:hAnsi="TimesNewRoman" w:cs="TimesNewRoman"/>
          <w:lang w:eastAsia="tr-TR"/>
        </w:rPr>
        <w:t xml:space="preserve">Public procurement can be defined as the purchasing of goods and services needed by </w:t>
      </w:r>
      <w:r w:rsidR="00DF0C31">
        <w:rPr>
          <w:rFonts w:ascii="TimesNewRoman" w:eastAsia="MS Mincho" w:hAnsi="TimesNewRoman" w:cs="TimesNewRoman"/>
          <w:lang w:eastAsia="tr-TR"/>
        </w:rPr>
        <w:t xml:space="preserve">the </w:t>
      </w:r>
      <w:r w:rsidRPr="00DF0C31">
        <w:rPr>
          <w:rFonts w:ascii="TimesNewRoman" w:eastAsia="MS Mincho" w:hAnsi="TimesNewRoman" w:cs="TimesNewRoman"/>
          <w:lang w:eastAsia="tr-TR"/>
        </w:rPr>
        <w:t>government to perform its function</w:t>
      </w:r>
      <w:r w:rsidR="00DF0C31">
        <w:rPr>
          <w:rFonts w:ascii="TimesNewRoman" w:eastAsia="MS Mincho" w:hAnsi="TimesNewRoman" w:cs="TimesNewRoman"/>
          <w:lang w:eastAsia="tr-TR"/>
        </w:rPr>
        <w:t>s</w:t>
      </w:r>
      <w:r w:rsidRPr="00DF0C31">
        <w:rPr>
          <w:rFonts w:ascii="TimesNewRoman" w:eastAsia="MS Mincho" w:hAnsi="TimesNewRoman" w:cs="TimesNewRoman"/>
          <w:lang w:eastAsia="tr-TR"/>
        </w:rPr>
        <w:t xml:space="preserve"> </w:t>
      </w:r>
      <w:r w:rsidR="00DF0C31">
        <w:rPr>
          <w:rFonts w:ascii="TimesNewRoman" w:eastAsia="MS Mincho" w:hAnsi="TimesNewRoman" w:cs="TimesNewRoman"/>
          <w:lang w:eastAsia="tr-TR"/>
        </w:rPr>
        <w:t>(</w:t>
      </w:r>
      <w:r w:rsidRPr="00DF0C31">
        <w:rPr>
          <w:rFonts w:ascii="TimesNewRoman" w:eastAsia="MS Mincho" w:hAnsi="TimesNewRoman" w:cs="TimesNewRoman"/>
          <w:lang w:eastAsia="tr-TR"/>
        </w:rPr>
        <w:t>Arrowsmith</w:t>
      </w:r>
      <w:r w:rsidR="00DF0C31">
        <w:rPr>
          <w:rFonts w:ascii="TimesNewRoman" w:eastAsia="MS Mincho" w:hAnsi="TimesNewRoman" w:cs="TimesNewRoman"/>
          <w:lang w:eastAsia="tr-TR"/>
        </w:rPr>
        <w:t>,</w:t>
      </w:r>
      <w:r w:rsidRPr="00DF0C31">
        <w:rPr>
          <w:rFonts w:ascii="TimesNewRoman" w:eastAsia="MS Mincho" w:hAnsi="TimesNewRoman" w:cs="TimesNewRoman"/>
          <w:lang w:eastAsia="tr-TR"/>
        </w:rPr>
        <w:t xml:space="preserve"> </w:t>
      </w:r>
      <w:r w:rsidR="00A979E9" w:rsidRPr="00AE7AF1">
        <w:rPr>
          <w:rFonts w:ascii="TimesNewRoman" w:eastAsia="MS Mincho" w:hAnsi="TimesNewRoman" w:cs="TimesNewRoman"/>
          <w:lang w:eastAsia="tr-TR"/>
        </w:rPr>
        <w:t>2010</w:t>
      </w:r>
      <w:r w:rsidR="00DF0C31">
        <w:rPr>
          <w:rFonts w:ascii="TimesNewRoman" w:eastAsia="MS Mincho" w:hAnsi="TimesNewRoman" w:cs="TimesNewRoman"/>
          <w:lang w:eastAsia="tr-TR"/>
        </w:rPr>
        <w:t xml:space="preserve">, </w:t>
      </w:r>
      <w:r w:rsidRPr="00DF0C31">
        <w:rPr>
          <w:rFonts w:ascii="TimesNewRoman" w:eastAsia="MS Mincho" w:hAnsi="TimesNewRoman" w:cs="TimesNewRoman"/>
          <w:lang w:eastAsia="tr-TR"/>
        </w:rPr>
        <w:t>cited in Ambe &amp; Badenworst-Weiss, 2012:</w:t>
      </w:r>
      <w:r w:rsidR="008F0B2E" w:rsidRPr="00DF0C31">
        <w:rPr>
          <w:rFonts w:ascii="TimesNewRoman" w:eastAsia="MS Mincho" w:hAnsi="TimesNewRoman" w:cs="TimesNewRoman"/>
          <w:lang w:eastAsia="tr-TR"/>
        </w:rPr>
        <w:t>244).</w:t>
      </w:r>
      <w:r w:rsidR="00B0036E" w:rsidRPr="00DF0C31">
        <w:rPr>
          <w:rFonts w:ascii="TimesNewRoman" w:eastAsia="MS Mincho" w:hAnsi="TimesNewRoman" w:cs="TimesNewRoman"/>
          <w:lang w:eastAsia="tr-TR"/>
        </w:rPr>
        <w:t xml:space="preserve"> Through targeted measures, public procurement can enhance the participation of women-owned businesses in the local economy. </w:t>
      </w:r>
      <w:r w:rsidR="000A3C42" w:rsidRPr="002D7D0A">
        <w:t>Chin (2017: 41) state</w:t>
      </w:r>
      <w:r w:rsidR="00DF0C31">
        <w:t>d</w:t>
      </w:r>
      <w:r w:rsidR="000A3C42" w:rsidRPr="002D7D0A">
        <w:t xml:space="preserve"> that women-owned businesses “must be owned in whole, or at least by half by one or more women”.</w:t>
      </w:r>
      <w:r w:rsidR="00B0036E" w:rsidRPr="002D7D0A">
        <w:t xml:space="preserve"> This definition is important because an explicit acknowledgement is </w:t>
      </w:r>
      <w:r w:rsidR="00C66571" w:rsidRPr="002D7D0A">
        <w:t>useful for</w:t>
      </w:r>
      <w:r w:rsidR="00B0036E" w:rsidRPr="002D7D0A">
        <w:t xml:space="preserve"> scrutinising public procurement for gender sensitivity </w:t>
      </w:r>
      <w:r w:rsidR="001F677D" w:rsidRPr="002D7D0A">
        <w:t xml:space="preserve">as </w:t>
      </w:r>
      <w:r w:rsidR="00B0036E" w:rsidRPr="002D7D0A">
        <w:t xml:space="preserve">compared against the </w:t>
      </w:r>
      <w:r w:rsidR="00D9655B">
        <w:t>Black Economic Empowerment (</w:t>
      </w:r>
      <w:r w:rsidR="00B15DEB">
        <w:t>BB</w:t>
      </w:r>
      <w:r w:rsidR="00B0036E" w:rsidRPr="002D7D0A">
        <w:t>BEE</w:t>
      </w:r>
      <w:r w:rsidR="00D9655B">
        <w:t>)</w:t>
      </w:r>
      <w:r w:rsidR="00B0036E" w:rsidRPr="002D7D0A">
        <w:t xml:space="preserve"> criterion that has often been employed in South Africa’s preferential procurement </w:t>
      </w:r>
      <w:r w:rsidR="001F677D" w:rsidRPr="002D7D0A">
        <w:t>system and process.</w:t>
      </w:r>
    </w:p>
    <w:p w:rsidR="000A3C42" w:rsidRPr="002D7D0A" w:rsidRDefault="00022338" w:rsidP="009351EC">
      <w:pPr>
        <w:rPr>
          <w:b/>
        </w:rPr>
      </w:pPr>
      <w:r w:rsidRPr="002D7D0A">
        <w:rPr>
          <w:b/>
        </w:rPr>
        <w:t>1.2</w:t>
      </w:r>
      <w:r w:rsidR="00D9655B">
        <w:rPr>
          <w:b/>
        </w:rPr>
        <w:t>.</w:t>
      </w:r>
      <w:r w:rsidRPr="002D7D0A">
        <w:rPr>
          <w:b/>
        </w:rPr>
        <w:t xml:space="preserve"> M</w:t>
      </w:r>
      <w:r w:rsidR="00D9655B" w:rsidRPr="00DF0C31">
        <w:rPr>
          <w:b/>
        </w:rPr>
        <w:t>ethodology</w:t>
      </w:r>
    </w:p>
    <w:p w:rsidR="000A3C42" w:rsidRPr="002D7D0A" w:rsidRDefault="00AF7401" w:rsidP="002D7D0A">
      <w:pPr>
        <w:spacing w:after="120"/>
      </w:pPr>
      <w:r w:rsidRPr="002D7D0A">
        <w:t>Using a constructivist critical approach, this article use</w:t>
      </w:r>
      <w:r w:rsidR="00432FD6" w:rsidRPr="002D7D0A">
        <w:t>d</w:t>
      </w:r>
      <w:r w:rsidRPr="002D7D0A">
        <w:t xml:space="preserve"> a qualitative lens to examine and interpret results. Document analysis was u</w:t>
      </w:r>
      <w:r w:rsidR="00304298" w:rsidRPr="002D7D0A">
        <w:t>tili</w:t>
      </w:r>
      <w:r w:rsidRPr="002D7D0A">
        <w:t xml:space="preserve">sed to provide “rich descriptions for a single </w:t>
      </w:r>
      <w:r w:rsidR="00A5518F" w:rsidRPr="002D7D0A">
        <w:t>phenomenon</w:t>
      </w:r>
      <w:r w:rsidRPr="002D7D0A">
        <w:t xml:space="preserve">” through the use </w:t>
      </w:r>
      <w:r w:rsidR="000A1C56" w:rsidRPr="002D7D0A">
        <w:t>of policies</w:t>
      </w:r>
      <w:r w:rsidR="00DF0C31">
        <w:t>,</w:t>
      </w:r>
      <w:r w:rsidR="003607C7" w:rsidRPr="002D7D0A">
        <w:t xml:space="preserve"> </w:t>
      </w:r>
      <w:r w:rsidRPr="002D7D0A">
        <w:t>“reports</w:t>
      </w:r>
      <w:r w:rsidR="003607C7" w:rsidRPr="002D7D0A">
        <w:t xml:space="preserve"> and internal communications as a source of empirical data” to assist in “drawing and developing meaning” (Bowen, 2009:</w:t>
      </w:r>
      <w:r w:rsidR="00C66571" w:rsidRPr="002D7D0A">
        <w:t xml:space="preserve">28). </w:t>
      </w:r>
      <w:r w:rsidR="00777E39">
        <w:t xml:space="preserve"> This was done through the systematic review of relevant municipal documents including the integrated municipal plans, annual reports, policies and national legislation. </w:t>
      </w:r>
      <w:r w:rsidR="00C66571" w:rsidRPr="002D7D0A">
        <w:t>The article investigated South Africa’s legal framework for preferential procurement</w:t>
      </w:r>
      <w:r w:rsidR="00DF0C31">
        <w:t>,</w:t>
      </w:r>
      <w:r w:rsidR="00C66571" w:rsidRPr="002D7D0A">
        <w:t xml:space="preserve"> </w:t>
      </w:r>
      <w:r w:rsidR="00DF0C31">
        <w:t>h</w:t>
      </w:r>
      <w:r w:rsidR="00C66571" w:rsidRPr="002D7D0A">
        <w:t xml:space="preserve">ow the </w:t>
      </w:r>
      <w:r w:rsidR="00D9655B">
        <w:t>CJMM</w:t>
      </w:r>
      <w:r w:rsidR="00C66571" w:rsidRPr="002D7D0A">
        <w:t xml:space="preserve"> </w:t>
      </w:r>
      <w:r w:rsidR="004A72F3">
        <w:t>manages</w:t>
      </w:r>
      <w:r w:rsidR="004A72F3" w:rsidRPr="002D7D0A">
        <w:t xml:space="preserve"> </w:t>
      </w:r>
      <w:r w:rsidR="00C66571" w:rsidRPr="002D7D0A">
        <w:t>its municipal procurement process</w:t>
      </w:r>
      <w:r w:rsidR="00777E39">
        <w:t xml:space="preserve"> through gender mainstreaming and the </w:t>
      </w:r>
      <w:r w:rsidR="00777E39">
        <w:lastRenderedPageBreak/>
        <w:t>adoption of a holistic strategy</w:t>
      </w:r>
      <w:r w:rsidR="00DF0C31">
        <w:t>,</w:t>
      </w:r>
      <w:r w:rsidR="00C66571" w:rsidRPr="002D7D0A">
        <w:t xml:space="preserve"> </w:t>
      </w:r>
      <w:r w:rsidR="00DF0C31">
        <w:t>h</w:t>
      </w:r>
      <w:r w:rsidR="00C66571" w:rsidRPr="002D7D0A">
        <w:t xml:space="preserve">ow the </w:t>
      </w:r>
      <w:r w:rsidR="004A72F3">
        <w:t>CJMM</w:t>
      </w:r>
      <w:r w:rsidR="00DF0C31">
        <w:t xml:space="preserve"> has</w:t>
      </w:r>
      <w:r w:rsidR="00C66571" w:rsidRPr="002D7D0A">
        <w:t xml:space="preserve"> integrated gender into its procurement</w:t>
      </w:r>
      <w:r w:rsidR="00DF0C31">
        <w:t>,</w:t>
      </w:r>
      <w:r w:rsidR="00C66571" w:rsidRPr="002D7D0A">
        <w:t xml:space="preserve"> </w:t>
      </w:r>
      <w:r w:rsidR="00777E39">
        <w:t>to highlight</w:t>
      </w:r>
      <w:r w:rsidR="00C66571" w:rsidRPr="002D7D0A">
        <w:t xml:space="preserve"> the gaps </w:t>
      </w:r>
      <w:r w:rsidR="00777E39">
        <w:t xml:space="preserve">that exist </w:t>
      </w:r>
      <w:r w:rsidR="00C66571" w:rsidRPr="002D7D0A">
        <w:t>for gender mainstreaming with respect to women-owned businesses</w:t>
      </w:r>
      <w:r w:rsidR="00EC05C3" w:rsidRPr="002D7D0A">
        <w:t xml:space="preserve"> in accessing procurement opportunities</w:t>
      </w:r>
      <w:r w:rsidR="00C66571" w:rsidRPr="002D7D0A">
        <w:t xml:space="preserve"> in these municipal processes</w:t>
      </w:r>
      <w:r w:rsidR="00DF0C31">
        <w:t>.</w:t>
      </w:r>
      <w:r w:rsidR="004A72F3">
        <w:t xml:space="preserve">  </w:t>
      </w:r>
    </w:p>
    <w:p w:rsidR="001367A8" w:rsidRPr="002D7D0A" w:rsidRDefault="001367A8" w:rsidP="009351EC">
      <w:pPr>
        <w:pStyle w:val="Heading1"/>
        <w:contextualSpacing/>
      </w:pPr>
      <w:r w:rsidRPr="002D7D0A">
        <w:t xml:space="preserve">2. </w:t>
      </w:r>
      <w:r w:rsidR="00CA148F" w:rsidRPr="002D7D0A">
        <w:t>MUNICIPAL PROCUREMENT IN JOHANNESBURG</w:t>
      </w:r>
    </w:p>
    <w:p w:rsidR="00FC6EF7" w:rsidRDefault="00FC6EF7" w:rsidP="009351EC">
      <w:r w:rsidRPr="00FC6EF7">
        <w:t xml:space="preserve">The </w:t>
      </w:r>
      <w:r>
        <w:t>CJMM operates a massive budget to cater for its diverse municipal population of 4.9 million that is expected to rise to over 5.4 million</w:t>
      </w:r>
      <w:r w:rsidR="00997F88">
        <w:t xml:space="preserve"> by the year</w:t>
      </w:r>
      <w:r>
        <w:t xml:space="preserve"> 2021 (CoJ, 2017:17). As an important </w:t>
      </w:r>
      <w:r w:rsidR="00534130">
        <w:t>economic</w:t>
      </w:r>
      <w:r>
        <w:t xml:space="preserve"> hub for the country and the southern Africa region with high levels of unemployment and migration, the city should adopt economic transformation measures that engage “strategically and critically with the city’s political economy” to </w:t>
      </w:r>
      <w:r w:rsidR="00997F88">
        <w:t xml:space="preserve">develop, </w:t>
      </w:r>
      <w:r>
        <w:t>adopt</w:t>
      </w:r>
      <w:r w:rsidR="00997F88">
        <w:t xml:space="preserve"> and implement</w:t>
      </w:r>
      <w:r>
        <w:t xml:space="preserve"> “comprehensive economic policies that</w:t>
      </w:r>
      <w:r w:rsidR="00997F88">
        <w:t xml:space="preserve"> will</w:t>
      </w:r>
      <w:r>
        <w:t xml:space="preserve"> </w:t>
      </w:r>
      <w:r w:rsidR="00534130">
        <w:t>fast track</w:t>
      </w:r>
      <w:r>
        <w:t xml:space="preserve"> </w:t>
      </w:r>
      <w:r w:rsidR="00534130">
        <w:t xml:space="preserve">the transformation process” as per </w:t>
      </w:r>
      <w:r w:rsidR="00997F88">
        <w:t xml:space="preserve">its </w:t>
      </w:r>
      <w:r w:rsidR="00534130">
        <w:t>municipal integrated plan (CoJ, 2017:18). The transformation must be engendered such that women-owned businesses participate and benefit in the local economy through municipal procurement. Johannesburg’s financial performance for financial year 2016/2017 is shown in</w:t>
      </w:r>
      <w:r w:rsidR="006C697A">
        <w:t xml:space="preserve"> the </w:t>
      </w:r>
      <w:r w:rsidR="00534130">
        <w:t>Tables below to contextualise the procurement discussion that follows.</w:t>
      </w:r>
      <w:r w:rsidR="005D0E84">
        <w:t xml:space="preserve"> In the Table 1 Johannesburg’s financial performance is</w:t>
      </w:r>
      <w:r w:rsidR="00624473">
        <w:t xml:space="preserve"> operating on a surplus where contracted services, procurement constitutes about 5% of the total expenditure of over R 43 billion.</w:t>
      </w:r>
      <w:r w:rsidR="005D0E84">
        <w:t xml:space="preserve"> </w:t>
      </w:r>
    </w:p>
    <w:p w:rsidR="00342764" w:rsidRPr="002D7D0A" w:rsidRDefault="00342764" w:rsidP="00342764">
      <w:pPr>
        <w:pStyle w:val="Heading2"/>
        <w:contextualSpacing/>
        <w:rPr>
          <w:b/>
          <w:bCs/>
          <w:sz w:val="20"/>
          <w:szCs w:val="20"/>
        </w:rPr>
      </w:pPr>
      <w:r w:rsidRPr="002D7D0A">
        <w:rPr>
          <w:b/>
          <w:bCs/>
          <w:sz w:val="20"/>
          <w:szCs w:val="20"/>
        </w:rPr>
        <w:t xml:space="preserve">Table </w:t>
      </w:r>
      <w:r>
        <w:rPr>
          <w:b/>
          <w:bCs/>
          <w:sz w:val="20"/>
          <w:szCs w:val="20"/>
        </w:rPr>
        <w:t>1</w:t>
      </w:r>
      <w:r w:rsidRPr="002D7D0A">
        <w:rPr>
          <w:b/>
          <w:bCs/>
          <w:sz w:val="20"/>
          <w:szCs w:val="20"/>
        </w:rPr>
        <w:t xml:space="preserve">: </w:t>
      </w:r>
      <w:r>
        <w:rPr>
          <w:b/>
          <w:bCs/>
          <w:sz w:val="20"/>
          <w:szCs w:val="20"/>
        </w:rPr>
        <w:t>CJMM</w:t>
      </w:r>
      <w:r w:rsidRPr="002D7D0A">
        <w:rPr>
          <w:b/>
          <w:bCs/>
          <w:sz w:val="20"/>
          <w:szCs w:val="20"/>
        </w:rPr>
        <w:t xml:space="preserve">’s </w:t>
      </w:r>
      <w:r>
        <w:rPr>
          <w:b/>
          <w:bCs/>
          <w:sz w:val="20"/>
          <w:szCs w:val="20"/>
        </w:rPr>
        <w:t>Financial Performance 2016/17</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59"/>
        <w:gridCol w:w="3494"/>
      </w:tblGrid>
      <w:tr w:rsidR="00342764" w:rsidRPr="00DF0C31" w:rsidTr="00342764">
        <w:tc>
          <w:tcPr>
            <w:tcW w:w="2857" w:type="pct"/>
            <w:tcBorders>
              <w:top w:val="single" w:sz="12" w:space="0" w:color="auto"/>
              <w:bottom w:val="single" w:sz="12" w:space="0" w:color="auto"/>
            </w:tcBorders>
          </w:tcPr>
          <w:p w:rsidR="00342764" w:rsidRPr="002D7D0A" w:rsidRDefault="00342764" w:rsidP="00A27FEC">
            <w:pPr>
              <w:pStyle w:val="Heading2"/>
              <w:spacing w:before="0"/>
              <w:contextualSpacing/>
              <w:rPr>
                <w:b/>
                <w:bCs/>
                <w:sz w:val="20"/>
                <w:szCs w:val="20"/>
              </w:rPr>
            </w:pPr>
            <w:r w:rsidRPr="002D7D0A">
              <w:rPr>
                <w:b/>
                <w:bCs/>
                <w:sz w:val="20"/>
                <w:szCs w:val="20"/>
              </w:rPr>
              <w:t xml:space="preserve"> </w:t>
            </w:r>
          </w:p>
        </w:tc>
        <w:tc>
          <w:tcPr>
            <w:tcW w:w="2143" w:type="pct"/>
            <w:tcBorders>
              <w:top w:val="single" w:sz="12" w:space="0" w:color="auto"/>
              <w:bottom w:val="single" w:sz="12" w:space="0" w:color="auto"/>
            </w:tcBorders>
          </w:tcPr>
          <w:p w:rsidR="00342764" w:rsidRPr="002D7D0A" w:rsidRDefault="00342764" w:rsidP="00A27FEC">
            <w:pPr>
              <w:pStyle w:val="Heading2"/>
              <w:spacing w:before="0"/>
              <w:contextualSpacing/>
              <w:rPr>
                <w:b/>
                <w:bCs/>
                <w:sz w:val="20"/>
                <w:szCs w:val="20"/>
              </w:rPr>
            </w:pPr>
            <w:r>
              <w:rPr>
                <w:b/>
                <w:bCs/>
                <w:sz w:val="20"/>
                <w:szCs w:val="20"/>
              </w:rPr>
              <w:t>Amount in R ‘000 (June 2017)</w:t>
            </w:r>
          </w:p>
        </w:tc>
      </w:tr>
      <w:tr w:rsidR="00342764" w:rsidRPr="00DF0C31" w:rsidTr="00342764">
        <w:tc>
          <w:tcPr>
            <w:tcW w:w="2857" w:type="pct"/>
            <w:tcBorders>
              <w:top w:val="single" w:sz="12" w:space="0" w:color="auto"/>
            </w:tcBorders>
          </w:tcPr>
          <w:p w:rsidR="00342764" w:rsidRPr="002D7D0A" w:rsidRDefault="00342764" w:rsidP="00A27FEC">
            <w:pPr>
              <w:pStyle w:val="Heading2"/>
              <w:spacing w:before="0"/>
              <w:contextualSpacing/>
              <w:rPr>
                <w:bCs/>
                <w:sz w:val="20"/>
                <w:szCs w:val="20"/>
              </w:rPr>
            </w:pPr>
            <w:r>
              <w:rPr>
                <w:bCs/>
                <w:sz w:val="20"/>
                <w:szCs w:val="20"/>
              </w:rPr>
              <w:t xml:space="preserve">Revenue </w:t>
            </w:r>
          </w:p>
        </w:tc>
        <w:tc>
          <w:tcPr>
            <w:tcW w:w="2143" w:type="pct"/>
            <w:tcBorders>
              <w:top w:val="single" w:sz="12" w:space="0" w:color="auto"/>
            </w:tcBorders>
          </w:tcPr>
          <w:p w:rsidR="00342764" w:rsidRPr="002D7D0A" w:rsidRDefault="00342764" w:rsidP="00B15DEB">
            <w:pPr>
              <w:pStyle w:val="Default"/>
              <w:jc w:val="center"/>
              <w:rPr>
                <w:sz w:val="20"/>
                <w:szCs w:val="20"/>
                <w:lang w:val="en-GB"/>
              </w:rPr>
            </w:pPr>
            <w:r>
              <w:rPr>
                <w:sz w:val="20"/>
                <w:szCs w:val="20"/>
                <w:lang w:val="en-GB"/>
              </w:rPr>
              <w:t>45 422 444</w:t>
            </w:r>
          </w:p>
        </w:tc>
      </w:tr>
      <w:tr w:rsidR="00342764" w:rsidRPr="00DF0C31" w:rsidTr="00342764">
        <w:tc>
          <w:tcPr>
            <w:tcW w:w="2857" w:type="pct"/>
            <w:tcBorders>
              <w:bottom w:val="single" w:sz="4" w:space="0" w:color="auto"/>
            </w:tcBorders>
          </w:tcPr>
          <w:p w:rsidR="00342764" w:rsidRPr="00342764" w:rsidRDefault="00342764" w:rsidP="00A27FEC">
            <w:pPr>
              <w:pStyle w:val="Default"/>
              <w:rPr>
                <w:sz w:val="20"/>
                <w:szCs w:val="20"/>
                <w:lang w:val="en-GB"/>
              </w:rPr>
            </w:pPr>
            <w:r w:rsidRPr="00342764">
              <w:rPr>
                <w:sz w:val="20"/>
                <w:szCs w:val="20"/>
                <w:lang w:val="en-GB"/>
              </w:rPr>
              <w:t>Expenditure</w:t>
            </w:r>
          </w:p>
          <w:p w:rsidR="00342764" w:rsidRPr="00315858" w:rsidRDefault="00342764" w:rsidP="00A27FEC">
            <w:pPr>
              <w:pStyle w:val="Default"/>
              <w:rPr>
                <w:i/>
                <w:sz w:val="20"/>
                <w:szCs w:val="20"/>
                <w:lang w:val="en-GB"/>
              </w:rPr>
            </w:pPr>
            <w:r w:rsidRPr="00315858">
              <w:rPr>
                <w:i/>
                <w:sz w:val="20"/>
                <w:szCs w:val="20"/>
                <w:lang w:val="en-GB"/>
              </w:rPr>
              <w:t>Employee related costs</w:t>
            </w:r>
          </w:p>
          <w:p w:rsidR="00342764" w:rsidRPr="00315858" w:rsidRDefault="00342764" w:rsidP="00A27FEC">
            <w:pPr>
              <w:pStyle w:val="Default"/>
              <w:rPr>
                <w:i/>
                <w:sz w:val="20"/>
                <w:szCs w:val="20"/>
                <w:lang w:val="en-GB"/>
              </w:rPr>
            </w:pPr>
            <w:r w:rsidRPr="00315858">
              <w:rPr>
                <w:i/>
                <w:sz w:val="20"/>
                <w:szCs w:val="20"/>
                <w:lang w:val="en-GB"/>
              </w:rPr>
              <w:t>Debt impairment</w:t>
            </w:r>
          </w:p>
          <w:p w:rsidR="00342764" w:rsidRPr="00315858" w:rsidRDefault="00342764" w:rsidP="00A27FEC">
            <w:pPr>
              <w:pStyle w:val="Default"/>
              <w:rPr>
                <w:i/>
                <w:sz w:val="20"/>
                <w:szCs w:val="20"/>
                <w:lang w:val="en-GB"/>
              </w:rPr>
            </w:pPr>
            <w:r w:rsidRPr="00315858">
              <w:rPr>
                <w:i/>
                <w:sz w:val="20"/>
                <w:szCs w:val="20"/>
                <w:lang w:val="en-GB"/>
              </w:rPr>
              <w:t>Depreciation and amortisation</w:t>
            </w:r>
          </w:p>
          <w:p w:rsidR="00342764" w:rsidRPr="00315858" w:rsidRDefault="00342764" w:rsidP="00A27FEC">
            <w:pPr>
              <w:pStyle w:val="Default"/>
              <w:rPr>
                <w:i/>
                <w:sz w:val="20"/>
                <w:szCs w:val="20"/>
                <w:lang w:val="en-GB"/>
              </w:rPr>
            </w:pPr>
            <w:r w:rsidRPr="00315858">
              <w:rPr>
                <w:i/>
                <w:sz w:val="20"/>
                <w:szCs w:val="20"/>
                <w:lang w:val="en-GB"/>
              </w:rPr>
              <w:t>Finance costs</w:t>
            </w:r>
          </w:p>
          <w:p w:rsidR="00342764" w:rsidRPr="00315858" w:rsidRDefault="00342764" w:rsidP="00A27FEC">
            <w:pPr>
              <w:pStyle w:val="Default"/>
              <w:rPr>
                <w:i/>
                <w:sz w:val="20"/>
                <w:szCs w:val="20"/>
                <w:lang w:val="en-GB"/>
              </w:rPr>
            </w:pPr>
            <w:r w:rsidRPr="00315858">
              <w:rPr>
                <w:i/>
                <w:sz w:val="20"/>
                <w:szCs w:val="20"/>
                <w:lang w:val="en-GB"/>
              </w:rPr>
              <w:t>Bulk purchases</w:t>
            </w:r>
          </w:p>
          <w:p w:rsidR="00342764" w:rsidRPr="00315858" w:rsidRDefault="00342764" w:rsidP="00A27FEC">
            <w:pPr>
              <w:pStyle w:val="Default"/>
              <w:rPr>
                <w:i/>
                <w:sz w:val="20"/>
                <w:szCs w:val="20"/>
                <w:lang w:val="en-GB"/>
              </w:rPr>
            </w:pPr>
            <w:r w:rsidRPr="00315858">
              <w:rPr>
                <w:i/>
                <w:sz w:val="20"/>
                <w:szCs w:val="20"/>
                <w:lang w:val="en-GB"/>
              </w:rPr>
              <w:t>Contracted services</w:t>
            </w:r>
          </w:p>
          <w:p w:rsidR="00315858" w:rsidRPr="00315858" w:rsidRDefault="00315858" w:rsidP="00A27FEC">
            <w:pPr>
              <w:pStyle w:val="Default"/>
              <w:rPr>
                <w:i/>
                <w:sz w:val="20"/>
                <w:szCs w:val="20"/>
                <w:lang w:val="en-GB"/>
              </w:rPr>
            </w:pPr>
            <w:r w:rsidRPr="00315858">
              <w:rPr>
                <w:i/>
                <w:sz w:val="20"/>
                <w:szCs w:val="20"/>
                <w:lang w:val="en-GB"/>
              </w:rPr>
              <w:t xml:space="preserve">Other </w:t>
            </w:r>
          </w:p>
          <w:p w:rsidR="00342764" w:rsidRPr="002D7D0A" w:rsidRDefault="00342764" w:rsidP="00A27FEC">
            <w:pPr>
              <w:pStyle w:val="Default"/>
              <w:rPr>
                <w:sz w:val="20"/>
                <w:szCs w:val="20"/>
                <w:lang w:val="en-GB"/>
              </w:rPr>
            </w:pPr>
          </w:p>
        </w:tc>
        <w:tc>
          <w:tcPr>
            <w:tcW w:w="2143" w:type="pct"/>
            <w:tcBorders>
              <w:bottom w:val="single" w:sz="4" w:space="0" w:color="auto"/>
            </w:tcBorders>
          </w:tcPr>
          <w:p w:rsidR="00342764" w:rsidRDefault="00923EA8" w:rsidP="00342764">
            <w:pPr>
              <w:pStyle w:val="Default"/>
              <w:jc w:val="center"/>
              <w:rPr>
                <w:sz w:val="20"/>
                <w:szCs w:val="20"/>
                <w:lang w:val="en-GB"/>
              </w:rPr>
            </w:pPr>
            <w:r>
              <w:rPr>
                <w:sz w:val="20"/>
                <w:szCs w:val="20"/>
                <w:lang w:val="en-GB"/>
              </w:rPr>
              <w:t>(</w:t>
            </w:r>
            <w:r w:rsidR="00315858">
              <w:rPr>
                <w:sz w:val="20"/>
                <w:szCs w:val="20"/>
                <w:lang w:val="en-GB"/>
              </w:rPr>
              <w:t>43 762 471</w:t>
            </w:r>
            <w:r>
              <w:rPr>
                <w:sz w:val="20"/>
                <w:szCs w:val="20"/>
                <w:lang w:val="en-GB"/>
              </w:rPr>
              <w:t>)</w:t>
            </w:r>
          </w:p>
          <w:p w:rsidR="00315858" w:rsidRPr="00315858" w:rsidRDefault="00923EA8" w:rsidP="00342764">
            <w:pPr>
              <w:pStyle w:val="Default"/>
              <w:jc w:val="center"/>
              <w:rPr>
                <w:i/>
                <w:sz w:val="20"/>
                <w:szCs w:val="20"/>
                <w:lang w:val="en-GB"/>
              </w:rPr>
            </w:pPr>
            <w:r>
              <w:rPr>
                <w:i/>
                <w:sz w:val="20"/>
                <w:szCs w:val="20"/>
                <w:lang w:val="en-GB"/>
              </w:rPr>
              <w:t>(</w:t>
            </w:r>
            <w:r w:rsidR="00315858" w:rsidRPr="00315858">
              <w:rPr>
                <w:i/>
                <w:sz w:val="20"/>
                <w:szCs w:val="20"/>
                <w:lang w:val="en-GB"/>
              </w:rPr>
              <w:t>9 996 446</w:t>
            </w:r>
            <w:r>
              <w:rPr>
                <w:i/>
                <w:sz w:val="20"/>
                <w:szCs w:val="20"/>
                <w:lang w:val="en-GB"/>
              </w:rPr>
              <w:t>)</w:t>
            </w:r>
          </w:p>
          <w:p w:rsidR="00315858" w:rsidRPr="00315858" w:rsidRDefault="00923EA8" w:rsidP="00342764">
            <w:pPr>
              <w:pStyle w:val="Default"/>
              <w:jc w:val="center"/>
              <w:rPr>
                <w:i/>
                <w:sz w:val="20"/>
                <w:szCs w:val="20"/>
                <w:lang w:val="en-GB"/>
              </w:rPr>
            </w:pPr>
            <w:r>
              <w:rPr>
                <w:i/>
                <w:sz w:val="20"/>
                <w:szCs w:val="20"/>
                <w:lang w:val="en-GB"/>
              </w:rPr>
              <w:t>(</w:t>
            </w:r>
            <w:r w:rsidR="00B15DEB">
              <w:rPr>
                <w:i/>
                <w:sz w:val="20"/>
                <w:szCs w:val="20"/>
                <w:lang w:val="en-GB"/>
              </w:rPr>
              <w:t>3 723</w:t>
            </w:r>
            <w:r w:rsidR="00315858" w:rsidRPr="00315858">
              <w:rPr>
                <w:i/>
                <w:sz w:val="20"/>
                <w:szCs w:val="20"/>
                <w:lang w:val="en-GB"/>
              </w:rPr>
              <w:t xml:space="preserve"> 735</w:t>
            </w:r>
            <w:r>
              <w:rPr>
                <w:i/>
                <w:sz w:val="20"/>
                <w:szCs w:val="20"/>
                <w:lang w:val="en-GB"/>
              </w:rPr>
              <w:t>)</w:t>
            </w:r>
          </w:p>
          <w:p w:rsidR="00315858" w:rsidRPr="00315858" w:rsidRDefault="00923EA8" w:rsidP="00342764">
            <w:pPr>
              <w:pStyle w:val="Default"/>
              <w:jc w:val="center"/>
              <w:rPr>
                <w:i/>
                <w:sz w:val="20"/>
                <w:szCs w:val="20"/>
                <w:lang w:val="en-GB"/>
              </w:rPr>
            </w:pPr>
            <w:r>
              <w:rPr>
                <w:i/>
                <w:sz w:val="20"/>
                <w:szCs w:val="20"/>
                <w:lang w:val="en-GB"/>
              </w:rPr>
              <w:t>(</w:t>
            </w:r>
            <w:r w:rsidR="00315858" w:rsidRPr="00315858">
              <w:rPr>
                <w:i/>
                <w:sz w:val="20"/>
                <w:szCs w:val="20"/>
                <w:lang w:val="en-GB"/>
              </w:rPr>
              <w:t>2 905 690</w:t>
            </w:r>
            <w:r>
              <w:rPr>
                <w:i/>
                <w:sz w:val="20"/>
                <w:szCs w:val="20"/>
                <w:lang w:val="en-GB"/>
              </w:rPr>
              <w:t>)</w:t>
            </w:r>
          </w:p>
          <w:p w:rsidR="00315858" w:rsidRPr="00315858" w:rsidRDefault="00923EA8" w:rsidP="00342764">
            <w:pPr>
              <w:pStyle w:val="Default"/>
              <w:jc w:val="center"/>
              <w:rPr>
                <w:i/>
                <w:sz w:val="20"/>
                <w:szCs w:val="20"/>
                <w:lang w:val="en-GB"/>
              </w:rPr>
            </w:pPr>
            <w:r>
              <w:rPr>
                <w:i/>
                <w:sz w:val="20"/>
                <w:szCs w:val="20"/>
                <w:lang w:val="en-GB"/>
              </w:rPr>
              <w:t>(</w:t>
            </w:r>
            <w:r w:rsidR="00B15DEB">
              <w:rPr>
                <w:i/>
                <w:sz w:val="20"/>
                <w:szCs w:val="20"/>
                <w:lang w:val="en-GB"/>
              </w:rPr>
              <w:t>2</w:t>
            </w:r>
            <w:r w:rsidR="00315858" w:rsidRPr="00315858">
              <w:rPr>
                <w:i/>
                <w:sz w:val="20"/>
                <w:szCs w:val="20"/>
                <w:lang w:val="en-GB"/>
              </w:rPr>
              <w:t xml:space="preserve"> 404 844</w:t>
            </w:r>
            <w:r>
              <w:rPr>
                <w:i/>
                <w:sz w:val="20"/>
                <w:szCs w:val="20"/>
                <w:lang w:val="en-GB"/>
              </w:rPr>
              <w:t>)</w:t>
            </w:r>
          </w:p>
          <w:p w:rsidR="00315858" w:rsidRPr="00315858" w:rsidRDefault="00923EA8" w:rsidP="00342764">
            <w:pPr>
              <w:pStyle w:val="Default"/>
              <w:jc w:val="center"/>
              <w:rPr>
                <w:i/>
                <w:sz w:val="20"/>
                <w:szCs w:val="20"/>
                <w:lang w:val="en-GB"/>
              </w:rPr>
            </w:pPr>
            <w:r>
              <w:rPr>
                <w:i/>
                <w:sz w:val="20"/>
                <w:szCs w:val="20"/>
                <w:lang w:val="en-GB"/>
              </w:rPr>
              <w:t>(</w:t>
            </w:r>
            <w:r w:rsidR="00315858" w:rsidRPr="00315858">
              <w:rPr>
                <w:i/>
                <w:sz w:val="20"/>
                <w:szCs w:val="20"/>
                <w:lang w:val="en-GB"/>
              </w:rPr>
              <w:t>14 978 933</w:t>
            </w:r>
            <w:r>
              <w:rPr>
                <w:i/>
                <w:sz w:val="20"/>
                <w:szCs w:val="20"/>
                <w:lang w:val="en-GB"/>
              </w:rPr>
              <w:t>)</w:t>
            </w:r>
          </w:p>
          <w:p w:rsidR="00315858" w:rsidRPr="00315858" w:rsidRDefault="00923EA8" w:rsidP="00342764">
            <w:pPr>
              <w:pStyle w:val="Default"/>
              <w:jc w:val="center"/>
              <w:rPr>
                <w:i/>
                <w:sz w:val="20"/>
                <w:szCs w:val="20"/>
                <w:lang w:val="en-GB"/>
              </w:rPr>
            </w:pPr>
            <w:r>
              <w:rPr>
                <w:i/>
                <w:sz w:val="20"/>
                <w:szCs w:val="20"/>
                <w:lang w:val="en-GB"/>
              </w:rPr>
              <w:t>(</w:t>
            </w:r>
            <w:r w:rsidR="00B15DEB">
              <w:rPr>
                <w:i/>
                <w:sz w:val="20"/>
                <w:szCs w:val="20"/>
                <w:lang w:val="en-GB"/>
              </w:rPr>
              <w:t>2 321</w:t>
            </w:r>
            <w:r w:rsidR="00315858" w:rsidRPr="00315858">
              <w:rPr>
                <w:i/>
                <w:sz w:val="20"/>
                <w:szCs w:val="20"/>
                <w:lang w:val="en-GB"/>
              </w:rPr>
              <w:t xml:space="preserve"> 325</w:t>
            </w:r>
            <w:r>
              <w:rPr>
                <w:i/>
                <w:sz w:val="20"/>
                <w:szCs w:val="20"/>
                <w:lang w:val="en-GB"/>
              </w:rPr>
              <w:t>)</w:t>
            </w:r>
          </w:p>
          <w:p w:rsidR="00315858" w:rsidRPr="002D7D0A" w:rsidRDefault="00923EA8" w:rsidP="00B15DEB">
            <w:pPr>
              <w:pStyle w:val="Default"/>
              <w:jc w:val="center"/>
              <w:rPr>
                <w:sz w:val="20"/>
                <w:szCs w:val="20"/>
                <w:lang w:val="en-GB"/>
              </w:rPr>
            </w:pPr>
            <w:r>
              <w:rPr>
                <w:i/>
                <w:sz w:val="20"/>
                <w:szCs w:val="20"/>
                <w:lang w:val="en-GB"/>
              </w:rPr>
              <w:t>(</w:t>
            </w:r>
            <w:r w:rsidR="00315858" w:rsidRPr="00315858">
              <w:rPr>
                <w:i/>
                <w:sz w:val="20"/>
                <w:szCs w:val="20"/>
                <w:lang w:val="en-GB"/>
              </w:rPr>
              <w:t>7 431 498</w:t>
            </w:r>
            <w:r>
              <w:rPr>
                <w:i/>
                <w:sz w:val="20"/>
                <w:szCs w:val="20"/>
                <w:lang w:val="en-GB"/>
              </w:rPr>
              <w:t>)</w:t>
            </w:r>
          </w:p>
        </w:tc>
      </w:tr>
      <w:tr w:rsidR="00342764" w:rsidRPr="00DF0C31" w:rsidTr="00342764">
        <w:tc>
          <w:tcPr>
            <w:tcW w:w="2857" w:type="pct"/>
            <w:tcBorders>
              <w:top w:val="single" w:sz="4" w:space="0" w:color="auto"/>
              <w:bottom w:val="single" w:sz="12" w:space="0" w:color="auto"/>
            </w:tcBorders>
          </w:tcPr>
          <w:p w:rsidR="00342764" w:rsidRPr="002D7D0A" w:rsidRDefault="00315858" w:rsidP="00A27FEC">
            <w:pPr>
              <w:pStyle w:val="Default"/>
              <w:rPr>
                <w:sz w:val="20"/>
                <w:szCs w:val="20"/>
                <w:lang w:val="en-GB"/>
              </w:rPr>
            </w:pPr>
            <w:r>
              <w:rPr>
                <w:sz w:val="20"/>
                <w:szCs w:val="20"/>
                <w:lang w:val="en-GB"/>
              </w:rPr>
              <w:t>Net Surplus</w:t>
            </w:r>
            <w:r w:rsidR="00342764">
              <w:rPr>
                <w:sz w:val="20"/>
                <w:szCs w:val="20"/>
                <w:lang w:val="en-GB"/>
              </w:rPr>
              <w:t>.</w:t>
            </w:r>
            <w:r w:rsidR="00342764" w:rsidRPr="002D7D0A">
              <w:rPr>
                <w:sz w:val="20"/>
                <w:szCs w:val="20"/>
                <w:lang w:val="en-GB"/>
              </w:rPr>
              <w:t xml:space="preserve"> </w:t>
            </w:r>
          </w:p>
        </w:tc>
        <w:tc>
          <w:tcPr>
            <w:tcW w:w="2143" w:type="pct"/>
            <w:tcBorders>
              <w:top w:val="single" w:sz="4" w:space="0" w:color="auto"/>
              <w:bottom w:val="single" w:sz="12" w:space="0" w:color="auto"/>
            </w:tcBorders>
          </w:tcPr>
          <w:p w:rsidR="00342764" w:rsidRPr="002D7D0A" w:rsidRDefault="00B15DEB" w:rsidP="00B15DEB">
            <w:pPr>
              <w:pStyle w:val="Heading2"/>
              <w:spacing w:before="0"/>
              <w:contextualSpacing/>
              <w:jc w:val="center"/>
              <w:rPr>
                <w:bCs/>
                <w:sz w:val="20"/>
                <w:szCs w:val="20"/>
              </w:rPr>
            </w:pPr>
            <w:r>
              <w:rPr>
                <w:bCs/>
                <w:sz w:val="20"/>
                <w:szCs w:val="20"/>
              </w:rPr>
              <w:t>2</w:t>
            </w:r>
            <w:r w:rsidR="00315858">
              <w:rPr>
                <w:bCs/>
                <w:sz w:val="20"/>
                <w:szCs w:val="20"/>
              </w:rPr>
              <w:t xml:space="preserve"> 124 999</w:t>
            </w:r>
          </w:p>
        </w:tc>
      </w:tr>
    </w:tbl>
    <w:p w:rsidR="00534130" w:rsidRPr="00FC6EF7" w:rsidRDefault="00342764" w:rsidP="009351EC">
      <w:r w:rsidRPr="002D7D0A">
        <w:rPr>
          <w:bCs/>
          <w:sz w:val="20"/>
          <w:szCs w:val="20"/>
        </w:rPr>
        <w:t xml:space="preserve">Source: </w:t>
      </w:r>
      <w:r w:rsidR="006C697A">
        <w:rPr>
          <w:bCs/>
          <w:sz w:val="20"/>
          <w:szCs w:val="20"/>
        </w:rPr>
        <w:t xml:space="preserve">Adapted from </w:t>
      </w:r>
      <w:r w:rsidRPr="002D7D0A">
        <w:rPr>
          <w:bCs/>
          <w:sz w:val="20"/>
          <w:szCs w:val="20"/>
        </w:rPr>
        <w:t>C</w:t>
      </w:r>
      <w:r>
        <w:rPr>
          <w:bCs/>
          <w:sz w:val="20"/>
          <w:szCs w:val="20"/>
        </w:rPr>
        <w:t>o</w:t>
      </w:r>
      <w:r w:rsidRPr="002D7D0A">
        <w:rPr>
          <w:bCs/>
          <w:sz w:val="20"/>
          <w:szCs w:val="20"/>
        </w:rPr>
        <w:t xml:space="preserve">J </w:t>
      </w:r>
      <w:r>
        <w:rPr>
          <w:bCs/>
          <w:sz w:val="20"/>
          <w:szCs w:val="20"/>
        </w:rPr>
        <w:t>(</w:t>
      </w:r>
      <w:r w:rsidRPr="002D7D0A">
        <w:rPr>
          <w:bCs/>
          <w:sz w:val="20"/>
          <w:szCs w:val="20"/>
        </w:rPr>
        <w:t>20</w:t>
      </w:r>
      <w:r>
        <w:rPr>
          <w:bCs/>
          <w:sz w:val="20"/>
          <w:szCs w:val="20"/>
        </w:rPr>
        <w:t>17:13</w:t>
      </w:r>
      <w:r w:rsidRPr="002D7D0A">
        <w:rPr>
          <w:bCs/>
          <w:sz w:val="20"/>
          <w:szCs w:val="20"/>
        </w:rPr>
        <w:t>5</w:t>
      </w:r>
      <w:r>
        <w:rPr>
          <w:bCs/>
          <w:sz w:val="20"/>
          <w:szCs w:val="20"/>
        </w:rPr>
        <w:t>)</w:t>
      </w:r>
    </w:p>
    <w:p w:rsidR="004E0EA6" w:rsidRDefault="004C6E41" w:rsidP="009351EC">
      <w:r>
        <w:t xml:space="preserve">The city’s contracted services were procured for the following services: information technology services; fleet services; operating leases; specialist services; and other contractors all amounting to a total of over two billion rand as shown in Table 2. These figures comprise the cumulative procurement that is done by the city’s municipal entities that are in charge of service delivery in </w:t>
      </w:r>
      <w:r>
        <w:lastRenderedPageBreak/>
        <w:t>Johannesburg as well as the core administration departments that provide support functions for the metropolitan municipality.</w:t>
      </w:r>
      <w:r w:rsidR="00997F88">
        <w:t xml:space="preserve"> It must be noted that Johannesburg reports very limited gendered ramifications in the 2016/17 annual budget, specifically, </w:t>
      </w:r>
      <w:r w:rsidR="006519D2">
        <w:t xml:space="preserve">that </w:t>
      </w:r>
      <w:r w:rsidR="00997F88">
        <w:t>the Johannesburg City Theatres awarded 47 of the entity’s procurement to women suppliers (CoJ, 2017:96).</w:t>
      </w:r>
      <w:r w:rsidR="004439C4">
        <w:t xml:space="preserve"> This financial information echoes the city’s procurement process as discussed later.</w:t>
      </w:r>
    </w:p>
    <w:p w:rsidR="00744AD1" w:rsidRPr="002D7D0A" w:rsidRDefault="00744AD1" w:rsidP="00744AD1">
      <w:pPr>
        <w:pStyle w:val="Heading2"/>
        <w:contextualSpacing/>
        <w:rPr>
          <w:b/>
          <w:bCs/>
          <w:sz w:val="20"/>
          <w:szCs w:val="20"/>
        </w:rPr>
      </w:pPr>
      <w:r w:rsidRPr="002D7D0A">
        <w:rPr>
          <w:b/>
          <w:bCs/>
          <w:sz w:val="20"/>
          <w:szCs w:val="20"/>
        </w:rPr>
        <w:t>Table</w:t>
      </w:r>
      <w:r>
        <w:rPr>
          <w:b/>
          <w:bCs/>
          <w:sz w:val="20"/>
          <w:szCs w:val="20"/>
        </w:rPr>
        <w:t xml:space="preserve"> 2</w:t>
      </w:r>
      <w:r w:rsidRPr="002D7D0A">
        <w:rPr>
          <w:b/>
          <w:bCs/>
          <w:sz w:val="20"/>
          <w:szCs w:val="20"/>
        </w:rPr>
        <w:t xml:space="preserve">: </w:t>
      </w:r>
      <w:r>
        <w:rPr>
          <w:b/>
          <w:bCs/>
          <w:sz w:val="20"/>
          <w:szCs w:val="20"/>
        </w:rPr>
        <w:t>CJMM</w:t>
      </w:r>
      <w:r w:rsidRPr="002D7D0A">
        <w:rPr>
          <w:b/>
          <w:bCs/>
          <w:sz w:val="20"/>
          <w:szCs w:val="20"/>
        </w:rPr>
        <w:t xml:space="preserve">’s </w:t>
      </w:r>
      <w:r>
        <w:rPr>
          <w:b/>
          <w:bCs/>
          <w:sz w:val="20"/>
          <w:szCs w:val="20"/>
        </w:rPr>
        <w:t>Contracted Services 2016/17</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59"/>
        <w:gridCol w:w="3494"/>
      </w:tblGrid>
      <w:tr w:rsidR="00744AD1" w:rsidRPr="00DF0C31" w:rsidTr="00A27FEC">
        <w:tc>
          <w:tcPr>
            <w:tcW w:w="2857" w:type="pct"/>
            <w:tcBorders>
              <w:top w:val="single" w:sz="12" w:space="0" w:color="auto"/>
              <w:bottom w:val="single" w:sz="12" w:space="0" w:color="auto"/>
            </w:tcBorders>
          </w:tcPr>
          <w:p w:rsidR="00744AD1" w:rsidRPr="002D7D0A" w:rsidRDefault="00744AD1" w:rsidP="00A27FEC">
            <w:pPr>
              <w:pStyle w:val="Heading2"/>
              <w:spacing w:before="0"/>
              <w:contextualSpacing/>
              <w:rPr>
                <w:b/>
                <w:bCs/>
                <w:sz w:val="20"/>
                <w:szCs w:val="20"/>
              </w:rPr>
            </w:pPr>
            <w:r w:rsidRPr="002D7D0A">
              <w:rPr>
                <w:b/>
                <w:bCs/>
                <w:sz w:val="20"/>
                <w:szCs w:val="20"/>
              </w:rPr>
              <w:t xml:space="preserve"> </w:t>
            </w:r>
          </w:p>
        </w:tc>
        <w:tc>
          <w:tcPr>
            <w:tcW w:w="2143" w:type="pct"/>
            <w:tcBorders>
              <w:top w:val="single" w:sz="12" w:space="0" w:color="auto"/>
              <w:bottom w:val="single" w:sz="12" w:space="0" w:color="auto"/>
            </w:tcBorders>
          </w:tcPr>
          <w:p w:rsidR="00744AD1" w:rsidRPr="002D7D0A" w:rsidRDefault="00744AD1" w:rsidP="00A27FEC">
            <w:pPr>
              <w:pStyle w:val="Heading2"/>
              <w:spacing w:before="0"/>
              <w:contextualSpacing/>
              <w:rPr>
                <w:b/>
                <w:bCs/>
                <w:sz w:val="20"/>
                <w:szCs w:val="20"/>
              </w:rPr>
            </w:pPr>
            <w:r>
              <w:rPr>
                <w:b/>
                <w:bCs/>
                <w:sz w:val="20"/>
                <w:szCs w:val="20"/>
              </w:rPr>
              <w:t>Amount in R ‘000 (June 2017)</w:t>
            </w:r>
          </w:p>
        </w:tc>
      </w:tr>
      <w:tr w:rsidR="00744AD1" w:rsidRPr="00DF0C31" w:rsidTr="00A27FEC">
        <w:tc>
          <w:tcPr>
            <w:tcW w:w="2857" w:type="pct"/>
            <w:tcBorders>
              <w:bottom w:val="single" w:sz="4" w:space="0" w:color="auto"/>
            </w:tcBorders>
          </w:tcPr>
          <w:p w:rsidR="00744AD1" w:rsidRDefault="00744AD1" w:rsidP="00744AD1">
            <w:pPr>
              <w:pStyle w:val="Default"/>
              <w:rPr>
                <w:sz w:val="20"/>
                <w:szCs w:val="20"/>
                <w:lang w:val="en-GB"/>
              </w:rPr>
            </w:pPr>
            <w:r>
              <w:rPr>
                <w:sz w:val="20"/>
                <w:szCs w:val="20"/>
                <w:lang w:val="en-GB"/>
              </w:rPr>
              <w:t>Information Technology services</w:t>
            </w:r>
          </w:p>
          <w:p w:rsidR="00744AD1" w:rsidRDefault="00744AD1" w:rsidP="00744AD1">
            <w:pPr>
              <w:pStyle w:val="Default"/>
              <w:rPr>
                <w:sz w:val="20"/>
                <w:szCs w:val="20"/>
                <w:lang w:val="en-GB"/>
              </w:rPr>
            </w:pPr>
            <w:r>
              <w:rPr>
                <w:sz w:val="20"/>
                <w:szCs w:val="20"/>
                <w:lang w:val="en-GB"/>
              </w:rPr>
              <w:t>Fleet services</w:t>
            </w:r>
          </w:p>
          <w:p w:rsidR="00744AD1" w:rsidRDefault="00744AD1" w:rsidP="00744AD1">
            <w:pPr>
              <w:pStyle w:val="Default"/>
              <w:rPr>
                <w:sz w:val="20"/>
                <w:szCs w:val="20"/>
                <w:lang w:val="en-GB"/>
              </w:rPr>
            </w:pPr>
            <w:r>
              <w:rPr>
                <w:sz w:val="20"/>
                <w:szCs w:val="20"/>
                <w:lang w:val="en-GB"/>
              </w:rPr>
              <w:t>Operating leases</w:t>
            </w:r>
          </w:p>
          <w:p w:rsidR="00744AD1" w:rsidRDefault="00744AD1" w:rsidP="00744AD1">
            <w:pPr>
              <w:pStyle w:val="Default"/>
              <w:rPr>
                <w:sz w:val="20"/>
                <w:szCs w:val="20"/>
                <w:lang w:val="en-GB"/>
              </w:rPr>
            </w:pPr>
            <w:r>
              <w:rPr>
                <w:sz w:val="20"/>
                <w:szCs w:val="20"/>
                <w:lang w:val="en-GB"/>
              </w:rPr>
              <w:t>Specialist services</w:t>
            </w:r>
          </w:p>
          <w:p w:rsidR="00744AD1" w:rsidRPr="002D7D0A" w:rsidRDefault="00744AD1" w:rsidP="00744AD1">
            <w:pPr>
              <w:pStyle w:val="Default"/>
              <w:rPr>
                <w:sz w:val="20"/>
                <w:szCs w:val="20"/>
                <w:lang w:val="en-GB"/>
              </w:rPr>
            </w:pPr>
            <w:r>
              <w:rPr>
                <w:sz w:val="20"/>
                <w:szCs w:val="20"/>
                <w:lang w:val="en-GB"/>
              </w:rPr>
              <w:t xml:space="preserve">Other contractors </w:t>
            </w:r>
          </w:p>
        </w:tc>
        <w:tc>
          <w:tcPr>
            <w:tcW w:w="2143" w:type="pct"/>
            <w:tcBorders>
              <w:bottom w:val="single" w:sz="4" w:space="0" w:color="auto"/>
            </w:tcBorders>
          </w:tcPr>
          <w:p w:rsidR="00744AD1" w:rsidRDefault="00B15DEB" w:rsidP="00365FF9">
            <w:pPr>
              <w:pStyle w:val="Default"/>
              <w:jc w:val="center"/>
              <w:rPr>
                <w:sz w:val="20"/>
                <w:szCs w:val="20"/>
                <w:lang w:val="en-GB"/>
              </w:rPr>
            </w:pPr>
            <w:r>
              <w:rPr>
                <w:sz w:val="20"/>
                <w:szCs w:val="20"/>
                <w:lang w:val="en-GB"/>
              </w:rPr>
              <w:t>175</w:t>
            </w:r>
            <w:r w:rsidR="00365FF9">
              <w:rPr>
                <w:sz w:val="20"/>
                <w:szCs w:val="20"/>
                <w:lang w:val="en-GB"/>
              </w:rPr>
              <w:t xml:space="preserve"> </w:t>
            </w:r>
            <w:r>
              <w:rPr>
                <w:sz w:val="20"/>
                <w:szCs w:val="20"/>
                <w:lang w:val="en-GB"/>
              </w:rPr>
              <w:t xml:space="preserve"> </w:t>
            </w:r>
            <w:r w:rsidR="00365FF9">
              <w:rPr>
                <w:sz w:val="20"/>
                <w:szCs w:val="20"/>
                <w:lang w:val="en-GB"/>
              </w:rPr>
              <w:t>125</w:t>
            </w:r>
          </w:p>
          <w:p w:rsidR="00365FF9" w:rsidRDefault="00B15DEB" w:rsidP="00365FF9">
            <w:pPr>
              <w:pStyle w:val="Default"/>
              <w:jc w:val="center"/>
              <w:rPr>
                <w:sz w:val="20"/>
                <w:szCs w:val="20"/>
                <w:lang w:val="en-GB"/>
              </w:rPr>
            </w:pPr>
            <w:r>
              <w:rPr>
                <w:sz w:val="20"/>
                <w:szCs w:val="20"/>
                <w:lang w:val="en-GB"/>
              </w:rPr>
              <w:t>685</w:t>
            </w:r>
            <w:r w:rsidR="00365FF9">
              <w:rPr>
                <w:sz w:val="20"/>
                <w:szCs w:val="20"/>
                <w:lang w:val="en-GB"/>
              </w:rPr>
              <w:t xml:space="preserve"> </w:t>
            </w:r>
            <w:r>
              <w:rPr>
                <w:sz w:val="20"/>
                <w:szCs w:val="20"/>
                <w:lang w:val="en-GB"/>
              </w:rPr>
              <w:t xml:space="preserve"> </w:t>
            </w:r>
            <w:r w:rsidR="00365FF9">
              <w:rPr>
                <w:sz w:val="20"/>
                <w:szCs w:val="20"/>
                <w:lang w:val="en-GB"/>
              </w:rPr>
              <w:t>656</w:t>
            </w:r>
          </w:p>
          <w:p w:rsidR="00365FF9" w:rsidRDefault="00B15DEB" w:rsidP="00365FF9">
            <w:pPr>
              <w:pStyle w:val="Default"/>
              <w:jc w:val="center"/>
              <w:rPr>
                <w:sz w:val="20"/>
                <w:szCs w:val="20"/>
                <w:lang w:val="en-GB"/>
              </w:rPr>
            </w:pPr>
            <w:r>
              <w:rPr>
                <w:sz w:val="20"/>
                <w:szCs w:val="20"/>
                <w:lang w:val="en-GB"/>
              </w:rPr>
              <w:t>242</w:t>
            </w:r>
            <w:r w:rsidR="00365FF9">
              <w:rPr>
                <w:sz w:val="20"/>
                <w:szCs w:val="20"/>
                <w:lang w:val="en-GB"/>
              </w:rPr>
              <w:t xml:space="preserve"> </w:t>
            </w:r>
            <w:r>
              <w:rPr>
                <w:sz w:val="20"/>
                <w:szCs w:val="20"/>
                <w:lang w:val="en-GB"/>
              </w:rPr>
              <w:t xml:space="preserve"> </w:t>
            </w:r>
            <w:r w:rsidR="00365FF9">
              <w:rPr>
                <w:sz w:val="20"/>
                <w:szCs w:val="20"/>
                <w:lang w:val="en-GB"/>
              </w:rPr>
              <w:t>846</w:t>
            </w:r>
          </w:p>
          <w:p w:rsidR="00365FF9" w:rsidRDefault="00B15DEB" w:rsidP="00365FF9">
            <w:pPr>
              <w:pStyle w:val="Default"/>
              <w:jc w:val="center"/>
              <w:rPr>
                <w:sz w:val="20"/>
                <w:szCs w:val="20"/>
                <w:lang w:val="en-GB"/>
              </w:rPr>
            </w:pPr>
            <w:r>
              <w:rPr>
                <w:sz w:val="20"/>
                <w:szCs w:val="20"/>
                <w:lang w:val="en-GB"/>
              </w:rPr>
              <w:t>887</w:t>
            </w:r>
            <w:r w:rsidR="00365FF9">
              <w:rPr>
                <w:sz w:val="20"/>
                <w:szCs w:val="20"/>
                <w:lang w:val="en-GB"/>
              </w:rPr>
              <w:t xml:space="preserve"> </w:t>
            </w:r>
            <w:r>
              <w:rPr>
                <w:sz w:val="20"/>
                <w:szCs w:val="20"/>
                <w:lang w:val="en-GB"/>
              </w:rPr>
              <w:t xml:space="preserve"> </w:t>
            </w:r>
            <w:r w:rsidR="00365FF9">
              <w:rPr>
                <w:sz w:val="20"/>
                <w:szCs w:val="20"/>
                <w:lang w:val="en-GB"/>
              </w:rPr>
              <w:t>535</w:t>
            </w:r>
          </w:p>
          <w:p w:rsidR="00365FF9" w:rsidRPr="002D7D0A" w:rsidRDefault="00B15DEB" w:rsidP="00365FF9">
            <w:pPr>
              <w:pStyle w:val="Default"/>
              <w:jc w:val="center"/>
              <w:rPr>
                <w:sz w:val="20"/>
                <w:szCs w:val="20"/>
                <w:lang w:val="en-GB"/>
              </w:rPr>
            </w:pPr>
            <w:r>
              <w:rPr>
                <w:sz w:val="20"/>
                <w:szCs w:val="20"/>
                <w:lang w:val="en-GB"/>
              </w:rPr>
              <w:t xml:space="preserve">330 </w:t>
            </w:r>
            <w:r w:rsidR="00365FF9">
              <w:rPr>
                <w:sz w:val="20"/>
                <w:szCs w:val="20"/>
                <w:lang w:val="en-GB"/>
              </w:rPr>
              <w:t xml:space="preserve"> 165</w:t>
            </w:r>
          </w:p>
          <w:p w:rsidR="00744AD1" w:rsidRPr="002D7D0A" w:rsidRDefault="00744AD1" w:rsidP="00A27FEC">
            <w:pPr>
              <w:pStyle w:val="Default"/>
              <w:jc w:val="center"/>
              <w:rPr>
                <w:sz w:val="20"/>
                <w:szCs w:val="20"/>
                <w:lang w:val="en-GB"/>
              </w:rPr>
            </w:pPr>
          </w:p>
        </w:tc>
      </w:tr>
      <w:tr w:rsidR="00744AD1" w:rsidRPr="00DF0C31" w:rsidTr="00A27FEC">
        <w:tc>
          <w:tcPr>
            <w:tcW w:w="2857" w:type="pct"/>
            <w:tcBorders>
              <w:top w:val="single" w:sz="4" w:space="0" w:color="auto"/>
              <w:bottom w:val="single" w:sz="12" w:space="0" w:color="auto"/>
            </w:tcBorders>
          </w:tcPr>
          <w:p w:rsidR="00744AD1" w:rsidRPr="002D7D0A" w:rsidRDefault="00365FF9" w:rsidP="00365FF9">
            <w:pPr>
              <w:pStyle w:val="Default"/>
              <w:rPr>
                <w:sz w:val="20"/>
                <w:szCs w:val="20"/>
                <w:lang w:val="en-GB"/>
              </w:rPr>
            </w:pPr>
            <w:r>
              <w:rPr>
                <w:sz w:val="20"/>
                <w:szCs w:val="20"/>
                <w:lang w:val="en-GB"/>
              </w:rPr>
              <w:t>Total Municipal Procurement for CJMM</w:t>
            </w:r>
            <w:r w:rsidR="00744AD1" w:rsidRPr="002D7D0A">
              <w:rPr>
                <w:sz w:val="20"/>
                <w:szCs w:val="20"/>
                <w:lang w:val="en-GB"/>
              </w:rPr>
              <w:t xml:space="preserve"> </w:t>
            </w:r>
          </w:p>
        </w:tc>
        <w:tc>
          <w:tcPr>
            <w:tcW w:w="2143" w:type="pct"/>
            <w:tcBorders>
              <w:top w:val="single" w:sz="4" w:space="0" w:color="auto"/>
              <w:bottom w:val="single" w:sz="12" w:space="0" w:color="auto"/>
            </w:tcBorders>
          </w:tcPr>
          <w:p w:rsidR="00744AD1" w:rsidRPr="002D7D0A" w:rsidRDefault="00B15DEB" w:rsidP="00B15DEB">
            <w:pPr>
              <w:pStyle w:val="Heading2"/>
              <w:spacing w:before="0"/>
              <w:contextualSpacing/>
              <w:jc w:val="center"/>
              <w:rPr>
                <w:bCs/>
                <w:sz w:val="20"/>
                <w:szCs w:val="20"/>
              </w:rPr>
            </w:pPr>
            <w:r>
              <w:rPr>
                <w:bCs/>
                <w:sz w:val="20"/>
                <w:szCs w:val="20"/>
              </w:rPr>
              <w:t>2</w:t>
            </w:r>
            <w:r w:rsidR="00744AD1">
              <w:rPr>
                <w:bCs/>
                <w:sz w:val="20"/>
                <w:szCs w:val="20"/>
              </w:rPr>
              <w:t xml:space="preserve"> </w:t>
            </w:r>
            <w:r w:rsidR="00365FF9">
              <w:rPr>
                <w:bCs/>
                <w:sz w:val="20"/>
                <w:szCs w:val="20"/>
              </w:rPr>
              <w:t>32</w:t>
            </w:r>
            <w:r w:rsidR="00744AD1">
              <w:rPr>
                <w:bCs/>
                <w:sz w:val="20"/>
                <w:szCs w:val="20"/>
              </w:rPr>
              <w:t xml:space="preserve">1 </w:t>
            </w:r>
            <w:r w:rsidR="002D4F31">
              <w:rPr>
                <w:bCs/>
                <w:sz w:val="20"/>
                <w:szCs w:val="20"/>
              </w:rPr>
              <w:t>325</w:t>
            </w:r>
          </w:p>
        </w:tc>
      </w:tr>
    </w:tbl>
    <w:p w:rsidR="00744AD1" w:rsidRPr="00FC6EF7" w:rsidRDefault="00744AD1" w:rsidP="00744AD1">
      <w:r w:rsidRPr="002D7D0A">
        <w:rPr>
          <w:bCs/>
          <w:sz w:val="20"/>
          <w:szCs w:val="20"/>
        </w:rPr>
        <w:t xml:space="preserve">Source: </w:t>
      </w:r>
      <w:r>
        <w:rPr>
          <w:bCs/>
          <w:sz w:val="20"/>
          <w:szCs w:val="20"/>
        </w:rPr>
        <w:t xml:space="preserve">Adapted from </w:t>
      </w:r>
      <w:r w:rsidRPr="002D7D0A">
        <w:rPr>
          <w:bCs/>
          <w:sz w:val="20"/>
          <w:szCs w:val="20"/>
        </w:rPr>
        <w:t>C</w:t>
      </w:r>
      <w:r>
        <w:rPr>
          <w:bCs/>
          <w:sz w:val="20"/>
          <w:szCs w:val="20"/>
        </w:rPr>
        <w:t>o</w:t>
      </w:r>
      <w:r w:rsidRPr="002D7D0A">
        <w:rPr>
          <w:bCs/>
          <w:sz w:val="20"/>
          <w:szCs w:val="20"/>
        </w:rPr>
        <w:t xml:space="preserve">J </w:t>
      </w:r>
      <w:r>
        <w:rPr>
          <w:bCs/>
          <w:sz w:val="20"/>
          <w:szCs w:val="20"/>
        </w:rPr>
        <w:t>(</w:t>
      </w:r>
      <w:r w:rsidRPr="002D7D0A">
        <w:rPr>
          <w:bCs/>
          <w:sz w:val="20"/>
          <w:szCs w:val="20"/>
        </w:rPr>
        <w:t>20</w:t>
      </w:r>
      <w:r w:rsidR="002D4F31">
        <w:rPr>
          <w:bCs/>
          <w:sz w:val="20"/>
          <w:szCs w:val="20"/>
        </w:rPr>
        <w:t>17:2</w:t>
      </w:r>
      <w:r w:rsidRPr="002D7D0A">
        <w:rPr>
          <w:bCs/>
          <w:sz w:val="20"/>
          <w:szCs w:val="20"/>
        </w:rPr>
        <w:t>5</w:t>
      </w:r>
      <w:r w:rsidR="002D4F31">
        <w:rPr>
          <w:bCs/>
          <w:sz w:val="20"/>
          <w:szCs w:val="20"/>
        </w:rPr>
        <w:t>1</w:t>
      </w:r>
      <w:r>
        <w:rPr>
          <w:bCs/>
          <w:sz w:val="20"/>
          <w:szCs w:val="20"/>
        </w:rPr>
        <w:t>)</w:t>
      </w:r>
    </w:p>
    <w:p w:rsidR="00BE7F42" w:rsidRPr="002D7D0A" w:rsidRDefault="00BE7F42" w:rsidP="009351EC">
      <w:pPr>
        <w:rPr>
          <w:b/>
        </w:rPr>
      </w:pPr>
      <w:r w:rsidRPr="002D7D0A">
        <w:rPr>
          <w:b/>
        </w:rPr>
        <w:t>2.1</w:t>
      </w:r>
      <w:r w:rsidR="00D9655B">
        <w:rPr>
          <w:b/>
        </w:rPr>
        <w:t>.</w:t>
      </w:r>
      <w:r w:rsidRPr="002D7D0A">
        <w:rPr>
          <w:b/>
        </w:rPr>
        <w:t xml:space="preserve"> Policy </w:t>
      </w:r>
      <w:r w:rsidR="00D9655B" w:rsidRPr="00DF0C31">
        <w:rPr>
          <w:b/>
        </w:rPr>
        <w:t>framework for preferential procurement</w:t>
      </w:r>
    </w:p>
    <w:p w:rsidR="000B3712" w:rsidRPr="002D7D0A" w:rsidRDefault="004A72F3" w:rsidP="002D7D0A">
      <w:r>
        <w:t>The CJMM</w:t>
      </w:r>
      <w:r w:rsidRPr="002D7D0A">
        <w:t xml:space="preserve"> </w:t>
      </w:r>
      <w:r w:rsidR="002377C3" w:rsidRPr="002D7D0A">
        <w:t xml:space="preserve">ascribes to the national legal policy framework </w:t>
      </w:r>
      <w:r w:rsidR="0000624E" w:rsidRPr="002D7D0A">
        <w:t xml:space="preserve">that is </w:t>
      </w:r>
      <w:r w:rsidR="002377C3" w:rsidRPr="002D7D0A">
        <w:t xml:space="preserve">founded </w:t>
      </w:r>
      <w:r w:rsidR="008D248E" w:rsidRPr="002D7D0A">
        <w:t>o</w:t>
      </w:r>
      <w:r w:rsidR="002377C3" w:rsidRPr="002D7D0A">
        <w:t>n the Constitution</w:t>
      </w:r>
      <w:r w:rsidR="00DF0C31">
        <w:t>; the latter being</w:t>
      </w:r>
      <w:r w:rsidR="002377C3" w:rsidRPr="002D7D0A">
        <w:t xml:space="preserve"> the supreme law </w:t>
      </w:r>
      <w:r w:rsidR="00DF0C31">
        <w:t>that</w:t>
      </w:r>
      <w:r w:rsidR="00DF0C31" w:rsidRPr="002D7D0A">
        <w:t xml:space="preserve"> </w:t>
      </w:r>
      <w:r w:rsidR="002377C3" w:rsidRPr="002D7D0A">
        <w:t xml:space="preserve">seeks to </w:t>
      </w:r>
      <w:r w:rsidR="00DE53A3" w:rsidRPr="002D7D0A">
        <w:t>redress</w:t>
      </w:r>
      <w:r w:rsidR="002377C3" w:rsidRPr="002D7D0A">
        <w:t xml:space="preserve"> historical imbalances in society</w:t>
      </w:r>
      <w:r w:rsidR="00DF0C31">
        <w:t>,</w:t>
      </w:r>
      <w:r w:rsidR="002377C3" w:rsidRPr="002D7D0A">
        <w:t xml:space="preserve"> including those that are gendered in nature (Republic of South Africa, 1996, Section 217). </w:t>
      </w:r>
      <w:r w:rsidR="005E5B03" w:rsidRPr="002D7D0A">
        <w:t xml:space="preserve">More specifically, the </w:t>
      </w:r>
      <w:r w:rsidR="002377C3" w:rsidRPr="002D7D0A">
        <w:t>Preferential Procurement Policy Framework Act</w:t>
      </w:r>
      <w:r w:rsidR="00DF0C31">
        <w:t xml:space="preserve"> of</w:t>
      </w:r>
      <w:r w:rsidR="002377C3" w:rsidRPr="002D7D0A">
        <w:t xml:space="preserve"> 2000 and the Broad</w:t>
      </w:r>
      <w:r w:rsidR="00DF0C31">
        <w:t>-b</w:t>
      </w:r>
      <w:r w:rsidR="002377C3" w:rsidRPr="002D7D0A">
        <w:t>ased Black Economic Empowerment (BBBEE) Act</w:t>
      </w:r>
      <w:r w:rsidR="00DF0C31">
        <w:t xml:space="preserve"> of</w:t>
      </w:r>
      <w:r w:rsidR="002377C3" w:rsidRPr="002D7D0A">
        <w:t xml:space="preserve"> 2003</w:t>
      </w:r>
      <w:r w:rsidR="00DF0C31">
        <w:t>,</w:t>
      </w:r>
      <w:r w:rsidR="002377C3" w:rsidRPr="002D7D0A">
        <w:t xml:space="preserve"> with its corresponding Codes of Good Practice </w:t>
      </w:r>
      <w:r w:rsidR="00DF0C31">
        <w:t xml:space="preserve">of </w:t>
      </w:r>
      <w:r w:rsidR="002377C3" w:rsidRPr="002D7D0A">
        <w:t xml:space="preserve">2007, stipulate a preferential point system that </w:t>
      </w:r>
      <w:r w:rsidR="00432FD6" w:rsidRPr="002D7D0A">
        <w:t xml:space="preserve">should </w:t>
      </w:r>
      <w:r w:rsidR="002377C3" w:rsidRPr="002D7D0A">
        <w:t xml:space="preserve">encourage women-owned enterprises to </w:t>
      </w:r>
      <w:r w:rsidR="005E5B03" w:rsidRPr="002D7D0A">
        <w:t xml:space="preserve">participate </w:t>
      </w:r>
      <w:r w:rsidR="00432FD6" w:rsidRPr="002D7D0A">
        <w:t>in tendering goods and services to the municipality.</w:t>
      </w:r>
      <w:r w:rsidR="007161CC" w:rsidRPr="002D7D0A">
        <w:t xml:space="preserve"> </w:t>
      </w:r>
      <w:r>
        <w:t>The CJMM</w:t>
      </w:r>
      <w:r w:rsidRPr="002D7D0A">
        <w:t xml:space="preserve">’s </w:t>
      </w:r>
      <w:r w:rsidR="00F87382" w:rsidRPr="002D7D0A">
        <w:t xml:space="preserve">procurement is also guided by </w:t>
      </w:r>
      <w:r w:rsidR="00DF0C31">
        <w:t>N</w:t>
      </w:r>
      <w:r w:rsidR="00F46FE3" w:rsidRPr="002D7D0A">
        <w:t xml:space="preserve">ational </w:t>
      </w:r>
      <w:r w:rsidR="00DF0C31">
        <w:t>T</w:t>
      </w:r>
      <w:r w:rsidR="00F46FE3" w:rsidRPr="002D7D0A">
        <w:t>reasury regulations and</w:t>
      </w:r>
      <w:r w:rsidR="00F87382" w:rsidRPr="002D7D0A">
        <w:t xml:space="preserve"> the Municipal Financ</w:t>
      </w:r>
      <w:r w:rsidR="00D9655B">
        <w:t>e</w:t>
      </w:r>
      <w:r w:rsidR="00F87382" w:rsidRPr="002D7D0A">
        <w:t xml:space="preserve"> Management Act</w:t>
      </w:r>
      <w:r w:rsidR="00F46FE3" w:rsidRPr="002D7D0A">
        <w:t xml:space="preserve"> (MFMA) </w:t>
      </w:r>
      <w:r w:rsidR="00DF0C31">
        <w:t xml:space="preserve">of </w:t>
      </w:r>
      <w:r w:rsidR="004701DD">
        <w:t>2003</w:t>
      </w:r>
      <w:r w:rsidR="00DF0C31">
        <w:t xml:space="preserve"> </w:t>
      </w:r>
      <w:r w:rsidR="00F46FE3" w:rsidRPr="002D7D0A">
        <w:t xml:space="preserve">and its own municipal policies on </w:t>
      </w:r>
      <w:r w:rsidR="00193F9D">
        <w:t>SCM</w:t>
      </w:r>
      <w:r w:rsidR="00F46FE3" w:rsidRPr="002D7D0A">
        <w:t xml:space="preserve"> (National </w:t>
      </w:r>
      <w:r w:rsidR="00DF0C31">
        <w:t>T</w:t>
      </w:r>
      <w:r w:rsidR="00F46FE3" w:rsidRPr="002D7D0A">
        <w:t>reasury, 2007; Republic of South Africa, 2003</w:t>
      </w:r>
      <w:r w:rsidR="00837B47">
        <w:t>a; Republic of South Africa, 2003b</w:t>
      </w:r>
      <w:r w:rsidR="00701836">
        <w:t xml:space="preserve">, </w:t>
      </w:r>
      <w:r w:rsidR="00F46FE3" w:rsidRPr="002D7D0A">
        <w:t>Section 110,111</w:t>
      </w:r>
      <w:r w:rsidR="00DF0C31">
        <w:t>;</w:t>
      </w:r>
      <w:r w:rsidR="00F46FE3" w:rsidRPr="002D7D0A">
        <w:t xml:space="preserve"> </w:t>
      </w:r>
      <w:r w:rsidR="00700EE6">
        <w:t>CoJ</w:t>
      </w:r>
      <w:r w:rsidR="00F46FE3" w:rsidRPr="002D7D0A">
        <w:t xml:space="preserve">, 2009). </w:t>
      </w:r>
      <w:r w:rsidR="00DF0C31">
        <w:t>The g</w:t>
      </w:r>
      <w:r w:rsidR="007161CC" w:rsidRPr="002D7D0A">
        <w:t>overnment acknowledges that implementation of the preferential system has sometimes entrenched economic inequalities</w:t>
      </w:r>
      <w:r w:rsidR="002A5B1C" w:rsidRPr="002D7D0A">
        <w:t xml:space="preserve">. The scandals in which the preferential procurement system was abused to siphon funds from </w:t>
      </w:r>
      <w:r w:rsidR="00D9655B" w:rsidRPr="006763FB">
        <w:t>SOEs</w:t>
      </w:r>
      <w:r w:rsidR="002A5B1C" w:rsidRPr="002D7D0A">
        <w:t xml:space="preserve"> is a case in point</w:t>
      </w:r>
      <w:r w:rsidR="00FB6B2F" w:rsidRPr="002D7D0A">
        <w:t xml:space="preserve"> that</w:t>
      </w:r>
      <w:r w:rsidR="002A5B1C" w:rsidRPr="002D7D0A">
        <w:t xml:space="preserve"> has caused profound da</w:t>
      </w:r>
      <w:r w:rsidR="00D80F4F" w:rsidRPr="002D7D0A">
        <w:t xml:space="preserve">mage to the South African </w:t>
      </w:r>
      <w:r w:rsidR="00FB6B2F" w:rsidRPr="002D7D0A">
        <w:t>economy. This policy framework remains useful because it provides the anchor on which gendered economic equity concerns can be raised and used to interrogate</w:t>
      </w:r>
      <w:r w:rsidR="00BE7F42" w:rsidRPr="002D7D0A">
        <w:t xml:space="preserve"> the implementation of these policies </w:t>
      </w:r>
      <w:r w:rsidR="00FB6B2F" w:rsidRPr="002D7D0A">
        <w:t xml:space="preserve">in all spheres of government and in society at large. </w:t>
      </w:r>
      <w:r>
        <w:t xml:space="preserve">  </w:t>
      </w:r>
    </w:p>
    <w:p w:rsidR="00FD0213" w:rsidRDefault="000B3712" w:rsidP="002D7D0A">
      <w:r w:rsidRPr="002D7D0A">
        <w:lastRenderedPageBreak/>
        <w:t>McCrudde</w:t>
      </w:r>
      <w:r w:rsidR="00432FD6" w:rsidRPr="002D7D0A">
        <w:t>n (</w:t>
      </w:r>
      <w:r w:rsidR="00E70228" w:rsidRPr="00AE7AF1">
        <w:t>2004</w:t>
      </w:r>
      <w:r w:rsidR="00DF0C31">
        <w:t xml:space="preserve">, </w:t>
      </w:r>
      <w:r w:rsidR="00432FD6" w:rsidRPr="002D7D0A">
        <w:t>cited in Worrel, 2012:140) determine</w:t>
      </w:r>
      <w:r w:rsidR="00DF0C31">
        <w:t>d</w:t>
      </w:r>
      <w:r w:rsidR="00432FD6" w:rsidRPr="002D7D0A">
        <w:t xml:space="preserve"> that</w:t>
      </w:r>
      <w:r w:rsidR="007161CC" w:rsidRPr="002D7D0A">
        <w:t xml:space="preserve"> there are </w:t>
      </w:r>
      <w:r w:rsidRPr="002D7D0A">
        <w:t xml:space="preserve">“historical origins of equity” </w:t>
      </w:r>
      <w:r w:rsidR="004A72F3">
        <w:t>and</w:t>
      </w:r>
      <w:r w:rsidRPr="002D7D0A">
        <w:t xml:space="preserve"> “social dimensions of procurement”</w:t>
      </w:r>
      <w:r w:rsidR="00432FD6" w:rsidRPr="002D7D0A">
        <w:t xml:space="preserve"> when seeking to cater for redress</w:t>
      </w:r>
      <w:r w:rsidR="007161CC" w:rsidRPr="002D7D0A">
        <w:t>. These cons</w:t>
      </w:r>
      <w:r w:rsidR="00432FD6" w:rsidRPr="002D7D0A">
        <w:t>ideration</w:t>
      </w:r>
      <w:r w:rsidR="007161CC" w:rsidRPr="002D7D0A">
        <w:t xml:space="preserve">s </w:t>
      </w:r>
      <w:r w:rsidRPr="002D7D0A">
        <w:t xml:space="preserve">will require </w:t>
      </w:r>
      <w:r w:rsidR="00C527C3">
        <w:t>the CJMM</w:t>
      </w:r>
      <w:r w:rsidR="00C527C3" w:rsidRPr="002D7D0A">
        <w:t xml:space="preserve"> </w:t>
      </w:r>
      <w:r w:rsidRPr="002D7D0A">
        <w:t>to proactively restructure its procurement process to ensure that gender is mainstreamed</w:t>
      </w:r>
      <w:r w:rsidR="00F87382" w:rsidRPr="002D7D0A">
        <w:t xml:space="preserve"> in order</w:t>
      </w:r>
      <w:r w:rsidRPr="002D7D0A">
        <w:t xml:space="preserve"> to realise economic equity for women-owned businesses</w:t>
      </w:r>
      <w:r w:rsidR="0036568B">
        <w:t xml:space="preserve"> that</w:t>
      </w:r>
      <w:r w:rsidRPr="002D7D0A">
        <w:t xml:space="preserve"> tender for municipal contracts.</w:t>
      </w:r>
      <w:r w:rsidR="00CF0E42" w:rsidRPr="002D7D0A">
        <w:t xml:space="preserve"> </w:t>
      </w:r>
    </w:p>
    <w:p w:rsidR="00916321" w:rsidRPr="002D7D0A" w:rsidRDefault="000B3712" w:rsidP="002D7D0A">
      <w:r w:rsidRPr="002D7D0A">
        <w:t>This means that gendered equity concerns such as access to bid information</w:t>
      </w:r>
      <w:r w:rsidR="0036568B">
        <w:t xml:space="preserve"> and</w:t>
      </w:r>
      <w:r w:rsidRPr="002D7D0A">
        <w:t xml:space="preserve"> B</w:t>
      </w:r>
      <w:r w:rsidR="00B15DEB">
        <w:t>BB</w:t>
      </w:r>
      <w:r w:rsidRPr="002D7D0A">
        <w:t>EE empowerment deals from large firms that usually benefit from municipal procurement</w:t>
      </w:r>
      <w:r w:rsidR="005E5B03" w:rsidRPr="002D7D0A">
        <w:t xml:space="preserve"> should also be </w:t>
      </w:r>
      <w:r w:rsidR="00DE53A3" w:rsidRPr="002D7D0A">
        <w:t>inculcated</w:t>
      </w:r>
      <w:r w:rsidR="005E5B03" w:rsidRPr="002D7D0A">
        <w:t xml:space="preserve"> into </w:t>
      </w:r>
      <w:r w:rsidR="00C527C3">
        <w:t>the CJMM</w:t>
      </w:r>
      <w:r w:rsidR="00C527C3" w:rsidRPr="002D7D0A">
        <w:t xml:space="preserve">’s </w:t>
      </w:r>
      <w:r w:rsidR="00193F9D">
        <w:t xml:space="preserve">SCM </w:t>
      </w:r>
      <w:r w:rsidR="005E5B03" w:rsidRPr="002D7D0A">
        <w:t>system and process</w:t>
      </w:r>
      <w:r w:rsidRPr="002D7D0A">
        <w:t xml:space="preserve"> so that more </w:t>
      </w:r>
      <w:r w:rsidR="00193F9D">
        <w:t>female</w:t>
      </w:r>
      <w:r w:rsidR="00193F9D" w:rsidRPr="002D7D0A">
        <w:t xml:space="preserve"> </w:t>
      </w:r>
      <w:r w:rsidRPr="002D7D0A">
        <w:t>entrepreneurs can leverage this opportunity</w:t>
      </w:r>
      <w:r w:rsidR="005E5B03" w:rsidRPr="002D7D0A">
        <w:t>.</w:t>
      </w:r>
      <w:r w:rsidR="002377C3" w:rsidRPr="002D7D0A">
        <w:t xml:space="preserve"> </w:t>
      </w:r>
      <w:r w:rsidR="00CF0E42" w:rsidRPr="002D7D0A">
        <w:t>Not only must th</w:t>
      </w:r>
      <w:r w:rsidR="008808C3" w:rsidRPr="002D7D0A">
        <w:t xml:space="preserve">ese concerns be integrated into the procurement process but </w:t>
      </w:r>
      <w:r w:rsidR="00B90359">
        <w:t xml:space="preserve">must </w:t>
      </w:r>
      <w:r w:rsidR="008808C3" w:rsidRPr="002D7D0A">
        <w:t>also</w:t>
      </w:r>
      <w:r w:rsidR="00F87382" w:rsidRPr="002D7D0A">
        <w:t xml:space="preserve"> </w:t>
      </w:r>
      <w:r w:rsidR="00B90359">
        <w:t xml:space="preserve">be </w:t>
      </w:r>
      <w:r w:rsidR="008808C3" w:rsidRPr="002D7D0A">
        <w:t>translated into the municipal integrated development plans, present and future</w:t>
      </w:r>
      <w:r w:rsidR="00F87382" w:rsidRPr="002D7D0A">
        <w:t>. Periodic robust gendered</w:t>
      </w:r>
      <w:r w:rsidR="008808C3" w:rsidRPr="002D7D0A">
        <w:t xml:space="preserve"> reporting </w:t>
      </w:r>
      <w:r w:rsidR="00F87382" w:rsidRPr="002D7D0A">
        <w:t xml:space="preserve">should thereafter be performed </w:t>
      </w:r>
      <w:r w:rsidR="008808C3" w:rsidRPr="002D7D0A">
        <w:t xml:space="preserve">to monitor and assure that gender has inherently been mainstreamed into the </w:t>
      </w:r>
      <w:r w:rsidR="00C527C3">
        <w:t>CJMM</w:t>
      </w:r>
      <w:r w:rsidR="00F87382" w:rsidRPr="002D7D0A">
        <w:t>’s</w:t>
      </w:r>
      <w:r w:rsidR="002377C3" w:rsidRPr="002D7D0A">
        <w:t xml:space="preserve"> </w:t>
      </w:r>
      <w:r w:rsidR="008808C3" w:rsidRPr="002D7D0A">
        <w:t>procurement process.</w:t>
      </w:r>
      <w:r w:rsidR="00C527C3">
        <w:t xml:space="preserve"> </w:t>
      </w:r>
    </w:p>
    <w:p w:rsidR="002377C3" w:rsidRPr="002D7D0A" w:rsidRDefault="00B17C4B" w:rsidP="002D7D0A">
      <w:pPr>
        <w:spacing w:after="120"/>
      </w:pPr>
      <w:r w:rsidRPr="002D7D0A">
        <w:t xml:space="preserve">There are </w:t>
      </w:r>
      <w:r w:rsidR="005F4868">
        <w:t xml:space="preserve">key </w:t>
      </w:r>
      <w:r w:rsidR="008C4DBC">
        <w:t xml:space="preserve">processes within </w:t>
      </w:r>
      <w:r w:rsidRPr="002D7D0A">
        <w:t xml:space="preserve">municipal procurement </w:t>
      </w:r>
      <w:r w:rsidR="00B90359">
        <w:t>that</w:t>
      </w:r>
      <w:r w:rsidR="00B90359" w:rsidRPr="002D7D0A">
        <w:t xml:space="preserve"> </w:t>
      </w:r>
      <w:r w:rsidRPr="002D7D0A">
        <w:t xml:space="preserve">should be gender mainstreamed </w:t>
      </w:r>
      <w:r w:rsidR="00D36B6C" w:rsidRPr="002D7D0A">
        <w:t xml:space="preserve">so as </w:t>
      </w:r>
      <w:r w:rsidRPr="002D7D0A">
        <w:t>to benefit women</w:t>
      </w:r>
      <w:r w:rsidR="00916321" w:rsidRPr="002D7D0A">
        <w:t>-</w:t>
      </w:r>
      <w:r w:rsidRPr="002D7D0A">
        <w:t>owned businesses. Initially</w:t>
      </w:r>
      <w:r w:rsidR="00B90359">
        <w:t>,</w:t>
      </w:r>
      <w:r w:rsidRPr="002D7D0A">
        <w:t xml:space="preserve"> at the registration</w:t>
      </w:r>
      <w:r w:rsidR="00583072" w:rsidRPr="002D7D0A">
        <w:t xml:space="preserve"> stage</w:t>
      </w:r>
      <w:r w:rsidRPr="002D7D0A">
        <w:t xml:space="preserve"> as a service provider for </w:t>
      </w:r>
      <w:r w:rsidR="00C527C3">
        <w:t>the CJMM</w:t>
      </w:r>
      <w:r w:rsidR="00D36B6C" w:rsidRPr="002D7D0A">
        <w:t xml:space="preserve">, there should be deliberate measures provided to cater for </w:t>
      </w:r>
      <w:r w:rsidR="00193F9D">
        <w:t>female</w:t>
      </w:r>
      <w:r w:rsidR="00193F9D" w:rsidRPr="002D7D0A">
        <w:t xml:space="preserve"> </w:t>
      </w:r>
      <w:r w:rsidR="00D36B6C" w:rsidRPr="002D7D0A">
        <w:t>entrepreneurs.</w:t>
      </w:r>
      <w:r w:rsidR="00916321" w:rsidRPr="002D7D0A">
        <w:t xml:space="preserve"> In addition, it is d</w:t>
      </w:r>
      <w:r w:rsidR="00D36B6C" w:rsidRPr="002D7D0A">
        <w:t xml:space="preserve">uring the tendering and bidding </w:t>
      </w:r>
      <w:r w:rsidR="00916321" w:rsidRPr="002D7D0A">
        <w:t xml:space="preserve">phases when these vulnerable suppliers may be eliminated because they fall short on technical requirements </w:t>
      </w:r>
      <w:r w:rsidR="00D36B6C" w:rsidRPr="002D7D0A">
        <w:t xml:space="preserve">whereby strategic sourcing </w:t>
      </w:r>
      <w:r w:rsidR="00916321" w:rsidRPr="002D7D0A">
        <w:t>can be used to</w:t>
      </w:r>
      <w:r w:rsidR="00D36B6C" w:rsidRPr="002D7D0A">
        <w:t xml:space="preserve"> “emphasize on removing barriers” that women-owned businesses face and “developing the capacities of these suppliers to compete with other businesses” (Chin, </w:t>
      </w:r>
      <w:r w:rsidR="00916321" w:rsidRPr="002D7D0A">
        <w:t>2017:49).</w:t>
      </w:r>
      <w:r w:rsidR="00DE5A0F">
        <w:t xml:space="preserve"> These are highlighted next.</w:t>
      </w:r>
    </w:p>
    <w:p w:rsidR="001367A8" w:rsidRPr="002D7D0A" w:rsidRDefault="001367A8" w:rsidP="009351EC">
      <w:pPr>
        <w:pStyle w:val="Heading2"/>
        <w:contextualSpacing/>
        <w:rPr>
          <w:b/>
          <w:bCs/>
        </w:rPr>
      </w:pPr>
      <w:r w:rsidRPr="002D7D0A">
        <w:rPr>
          <w:b/>
          <w:bCs/>
        </w:rPr>
        <w:t>2.</w:t>
      </w:r>
      <w:r w:rsidR="003601A2">
        <w:rPr>
          <w:b/>
          <w:bCs/>
        </w:rPr>
        <w:t>2</w:t>
      </w:r>
      <w:r w:rsidR="00193F9D">
        <w:rPr>
          <w:b/>
          <w:bCs/>
        </w:rPr>
        <w:t>.</w:t>
      </w:r>
      <w:r w:rsidRPr="002D7D0A">
        <w:rPr>
          <w:b/>
          <w:bCs/>
        </w:rPr>
        <w:t xml:space="preserve"> </w:t>
      </w:r>
      <w:r w:rsidR="00C527C3">
        <w:rPr>
          <w:b/>
          <w:bCs/>
        </w:rPr>
        <w:t xml:space="preserve">The </w:t>
      </w:r>
      <w:r w:rsidR="00C527C3" w:rsidRPr="002D7D0A">
        <w:rPr>
          <w:b/>
        </w:rPr>
        <w:t>CJMM</w:t>
      </w:r>
      <w:r w:rsidR="00C527C3" w:rsidRPr="002D7D0A">
        <w:rPr>
          <w:b/>
          <w:bCs/>
        </w:rPr>
        <w:t xml:space="preserve">’s </w:t>
      </w:r>
      <w:r w:rsidR="00193F9D" w:rsidRPr="00DF0C31">
        <w:rPr>
          <w:b/>
          <w:bCs/>
        </w:rPr>
        <w:t>procurement process</w:t>
      </w:r>
    </w:p>
    <w:p w:rsidR="00300FAA" w:rsidRPr="002D7D0A" w:rsidRDefault="000E45AB" w:rsidP="002D7D0A">
      <w:r w:rsidRPr="002D7D0A">
        <w:t xml:space="preserve">The </w:t>
      </w:r>
      <w:r w:rsidR="00C527C3">
        <w:t>CJMM</w:t>
      </w:r>
      <w:r w:rsidRPr="002D7D0A">
        <w:t xml:space="preserve">’s procurement is centrally managed </w:t>
      </w:r>
      <w:r w:rsidR="00393D46" w:rsidRPr="002D7D0A">
        <w:t xml:space="preserve">by </w:t>
      </w:r>
      <w:r w:rsidR="00400E5B" w:rsidRPr="002D7D0A">
        <w:t>its</w:t>
      </w:r>
      <w:r w:rsidRPr="002D7D0A">
        <w:t xml:space="preserve"> </w:t>
      </w:r>
      <w:r w:rsidR="00400E5B" w:rsidRPr="002D7D0A">
        <w:t xml:space="preserve">SCM </w:t>
      </w:r>
      <w:r w:rsidR="00E36B86" w:rsidRPr="002D7D0A">
        <w:t xml:space="preserve">unit and </w:t>
      </w:r>
      <w:r w:rsidR="00400E5B" w:rsidRPr="002D7D0A">
        <w:t>although m</w:t>
      </w:r>
      <w:r w:rsidR="00393D46" w:rsidRPr="002D7D0A">
        <w:t>unicipal entities</w:t>
      </w:r>
      <w:r w:rsidR="00400E5B" w:rsidRPr="002D7D0A">
        <w:t xml:space="preserve"> such as Johannesburg Water, City Power</w:t>
      </w:r>
      <w:r w:rsidR="00B90359">
        <w:t>,</w:t>
      </w:r>
      <w:r w:rsidR="00400E5B" w:rsidRPr="002D7D0A">
        <w:t xml:space="preserve"> and Metrobus directly undertake procurement </w:t>
      </w:r>
      <w:r w:rsidR="00E36B86" w:rsidRPr="002D7D0A">
        <w:t>individually</w:t>
      </w:r>
      <w:r w:rsidR="00400E5B" w:rsidRPr="002D7D0A">
        <w:t xml:space="preserve">, city-wide reporting is done by </w:t>
      </w:r>
      <w:r w:rsidR="00BE7F42" w:rsidRPr="002D7D0A">
        <w:t xml:space="preserve">the </w:t>
      </w:r>
      <w:r w:rsidR="00400E5B" w:rsidRPr="002D7D0A">
        <w:t>SCM</w:t>
      </w:r>
      <w:r w:rsidRPr="002D7D0A">
        <w:t xml:space="preserve"> </w:t>
      </w:r>
      <w:r w:rsidR="00400E5B" w:rsidRPr="002D7D0A">
        <w:t>(</w:t>
      </w:r>
      <w:r w:rsidR="00700EE6">
        <w:t>CoJ</w:t>
      </w:r>
      <w:r w:rsidR="00400E5B" w:rsidRPr="002D7D0A">
        <w:t>, 2009).</w:t>
      </w:r>
      <w:r w:rsidR="006F3E40" w:rsidRPr="002D7D0A">
        <w:t xml:space="preserve"> The SC</w:t>
      </w:r>
      <w:r w:rsidR="00DB168D" w:rsidRPr="002D7D0A">
        <w:t xml:space="preserve">M policy prescribes the process as follows: </w:t>
      </w:r>
      <w:r w:rsidR="00193F9D">
        <w:t>T</w:t>
      </w:r>
      <w:r w:rsidR="00DB168D" w:rsidRPr="002D7D0A">
        <w:t xml:space="preserve">he </w:t>
      </w:r>
      <w:r w:rsidR="000A74A0" w:rsidRPr="002D7D0A">
        <w:t>entrepreneur</w:t>
      </w:r>
      <w:r w:rsidR="00DD013E" w:rsidRPr="002D7D0A">
        <w:t xml:space="preserve"> (firm)</w:t>
      </w:r>
      <w:r w:rsidR="00DB168D" w:rsidRPr="002D7D0A">
        <w:t xml:space="preserve"> </w:t>
      </w:r>
      <w:r w:rsidR="00E36B86" w:rsidRPr="002D7D0A">
        <w:t>must register</w:t>
      </w:r>
      <w:r w:rsidR="00DB168D" w:rsidRPr="002D7D0A">
        <w:t xml:space="preserve"> with </w:t>
      </w:r>
      <w:r w:rsidR="00C527C3">
        <w:t xml:space="preserve">the </w:t>
      </w:r>
      <w:r w:rsidR="00DB168D" w:rsidRPr="002D7D0A">
        <w:t>SCM as a vendor</w:t>
      </w:r>
      <w:r w:rsidR="00193F9D">
        <w:t>;</w:t>
      </w:r>
      <w:r w:rsidR="00E36B86" w:rsidRPr="002D7D0A">
        <w:t xml:space="preserve"> </w:t>
      </w:r>
      <w:r w:rsidR="00193F9D">
        <w:t>t</w:t>
      </w:r>
      <w:r w:rsidR="00DB168D" w:rsidRPr="002D7D0A">
        <w:t xml:space="preserve">he </w:t>
      </w:r>
      <w:r w:rsidR="00C527C3">
        <w:t>CJMM</w:t>
      </w:r>
      <w:r w:rsidR="00B90359">
        <w:t xml:space="preserve"> periodically</w:t>
      </w:r>
      <w:r w:rsidR="00DB168D" w:rsidRPr="002D7D0A">
        <w:t xml:space="preserve"> issues a call </w:t>
      </w:r>
      <w:r w:rsidR="0001475F" w:rsidRPr="002D7D0A">
        <w:t>through print and broadcast</w:t>
      </w:r>
      <w:r w:rsidR="00DB168D" w:rsidRPr="002D7D0A">
        <w:t xml:space="preserve"> media</w:t>
      </w:r>
      <w:r w:rsidR="00B90359">
        <w:t>,</w:t>
      </w:r>
      <w:r w:rsidR="00DB168D" w:rsidRPr="002D7D0A">
        <w:t xml:space="preserve"> including its website</w:t>
      </w:r>
      <w:r w:rsidR="00B90359">
        <w:t>,</w:t>
      </w:r>
      <w:r w:rsidR="00DB168D" w:rsidRPr="002D7D0A">
        <w:t xml:space="preserve"> which </w:t>
      </w:r>
      <w:r w:rsidR="00E36B86" w:rsidRPr="002D7D0A">
        <w:t xml:space="preserve">potential </w:t>
      </w:r>
      <w:r w:rsidR="00DB168D" w:rsidRPr="002D7D0A">
        <w:t>vendor</w:t>
      </w:r>
      <w:r w:rsidR="00B90359">
        <w:t>s</w:t>
      </w:r>
      <w:r w:rsidR="00DB168D" w:rsidRPr="002D7D0A">
        <w:t xml:space="preserve"> must timeously respond to; and finally the SCM ev</w:t>
      </w:r>
      <w:r w:rsidR="00F35C74" w:rsidRPr="002D7D0A">
        <w:t>a</w:t>
      </w:r>
      <w:r w:rsidR="00DB168D" w:rsidRPr="002D7D0A">
        <w:t>luates the bid and awards</w:t>
      </w:r>
      <w:r w:rsidR="00B90359">
        <w:t xml:space="preserve"> the tender</w:t>
      </w:r>
      <w:r w:rsidR="00DB168D" w:rsidRPr="002D7D0A">
        <w:t xml:space="preserve"> to the preferred bidder (</w:t>
      </w:r>
      <w:r w:rsidR="00700EE6">
        <w:t>CoJ</w:t>
      </w:r>
      <w:r w:rsidR="00DB168D" w:rsidRPr="002D7D0A">
        <w:t>, 2009)</w:t>
      </w:r>
      <w:r w:rsidR="00B90359">
        <w:t>.</w:t>
      </w:r>
      <w:r w:rsidR="00C527C3">
        <w:t xml:space="preserve"> </w:t>
      </w:r>
    </w:p>
    <w:p w:rsidR="000418D5" w:rsidRDefault="00DB168D" w:rsidP="002315F3">
      <w:pPr>
        <w:pStyle w:val="Heading2"/>
        <w:spacing w:after="120"/>
        <w:rPr>
          <w:bCs/>
        </w:rPr>
      </w:pPr>
      <w:r w:rsidRPr="002D7D0A">
        <w:rPr>
          <w:bCs/>
        </w:rPr>
        <w:t>To</w:t>
      </w:r>
      <w:r w:rsidR="00E36B86" w:rsidRPr="002D7D0A">
        <w:rPr>
          <w:bCs/>
        </w:rPr>
        <w:t xml:space="preserve"> be</w:t>
      </w:r>
      <w:r w:rsidRPr="002D7D0A">
        <w:rPr>
          <w:bCs/>
        </w:rPr>
        <w:t xml:space="preserve"> </w:t>
      </w:r>
      <w:r w:rsidR="00DD013E" w:rsidRPr="002D7D0A">
        <w:rPr>
          <w:bCs/>
        </w:rPr>
        <w:t>registered as a vendor</w:t>
      </w:r>
      <w:r w:rsidR="00EF3606" w:rsidRPr="002D7D0A">
        <w:rPr>
          <w:bCs/>
        </w:rPr>
        <w:t>,</w:t>
      </w:r>
      <w:r w:rsidR="00DD013E" w:rsidRPr="002D7D0A">
        <w:rPr>
          <w:bCs/>
        </w:rPr>
        <w:t xml:space="preserve"> the firm</w:t>
      </w:r>
      <w:r w:rsidR="002315F3">
        <w:rPr>
          <w:bCs/>
        </w:rPr>
        <w:t xml:space="preserve"> which also applies to women-owned businesses,</w:t>
      </w:r>
      <w:r w:rsidR="00DD013E" w:rsidRPr="002D7D0A">
        <w:rPr>
          <w:bCs/>
        </w:rPr>
        <w:t xml:space="preserve"> must submit:</w:t>
      </w:r>
      <w:r w:rsidR="00C527C3">
        <w:rPr>
          <w:bCs/>
        </w:rPr>
        <w:t xml:space="preserve"> </w:t>
      </w:r>
      <w:r w:rsidR="008D248E" w:rsidRPr="002D7D0A">
        <w:rPr>
          <w:bCs/>
        </w:rPr>
        <w:t xml:space="preserve">a </w:t>
      </w:r>
      <w:r w:rsidR="00193F9D" w:rsidRPr="008D248E">
        <w:rPr>
          <w:bCs/>
        </w:rPr>
        <w:t>c</w:t>
      </w:r>
      <w:r w:rsidR="00DD013E" w:rsidRPr="002D7D0A">
        <w:rPr>
          <w:bCs/>
        </w:rPr>
        <w:t xml:space="preserve">ompleted </w:t>
      </w:r>
      <w:r w:rsidR="00700EE6" w:rsidRPr="006763FB">
        <w:rPr>
          <w:bCs/>
        </w:rPr>
        <w:t>Co</w:t>
      </w:r>
      <w:r w:rsidR="00C527C3" w:rsidRPr="002D7D0A">
        <w:rPr>
          <w:bCs/>
        </w:rPr>
        <w:t xml:space="preserve">J </w:t>
      </w:r>
      <w:r w:rsidR="00DD013E" w:rsidRPr="002D7D0A">
        <w:rPr>
          <w:bCs/>
        </w:rPr>
        <w:t>registration form</w:t>
      </w:r>
      <w:r w:rsidR="00B90359" w:rsidRPr="006763FB">
        <w:rPr>
          <w:bCs/>
        </w:rPr>
        <w:t>,</w:t>
      </w:r>
      <w:r w:rsidR="00DD013E" w:rsidRPr="002D7D0A">
        <w:rPr>
          <w:bCs/>
        </w:rPr>
        <w:t xml:space="preserve"> </w:t>
      </w:r>
      <w:r w:rsidR="00B90359">
        <w:rPr>
          <w:bCs/>
        </w:rPr>
        <w:t>which</w:t>
      </w:r>
      <w:r w:rsidR="00B90359" w:rsidRPr="002D7D0A">
        <w:rPr>
          <w:bCs/>
        </w:rPr>
        <w:t xml:space="preserve"> </w:t>
      </w:r>
      <w:r w:rsidR="00DD013E" w:rsidRPr="002D7D0A">
        <w:rPr>
          <w:bCs/>
        </w:rPr>
        <w:t xml:space="preserve">includes a signed declaration and in some cases a declaration certificate for local content and </w:t>
      </w:r>
      <w:r w:rsidR="00DD013E" w:rsidRPr="002D7D0A">
        <w:rPr>
          <w:bCs/>
        </w:rPr>
        <w:lastRenderedPageBreak/>
        <w:t>production and content for designated sectors</w:t>
      </w:r>
      <w:r w:rsidR="000418D5" w:rsidRPr="002D7D0A">
        <w:rPr>
          <w:bCs/>
        </w:rPr>
        <w:t>;</w:t>
      </w:r>
      <w:r w:rsidR="002315F3">
        <w:rPr>
          <w:bCs/>
        </w:rPr>
        <w:t xml:space="preserve"> company</w:t>
      </w:r>
      <w:r w:rsidR="000418D5" w:rsidRPr="002D7D0A">
        <w:rPr>
          <w:bCs/>
        </w:rPr>
        <w:t xml:space="preserve"> registration documents</w:t>
      </w:r>
      <w:r w:rsidR="002315F3">
        <w:rPr>
          <w:bCs/>
        </w:rPr>
        <w:t xml:space="preserve"> to confirm legal existence</w:t>
      </w:r>
      <w:r w:rsidR="000418D5" w:rsidRPr="002D7D0A">
        <w:rPr>
          <w:bCs/>
        </w:rPr>
        <w:t>;</w:t>
      </w:r>
      <w:r w:rsidR="002315F3">
        <w:rPr>
          <w:bCs/>
        </w:rPr>
        <w:t xml:space="preserve"> current South African Revenue Services, SARS </w:t>
      </w:r>
      <w:r w:rsidR="00193F9D">
        <w:rPr>
          <w:bCs/>
        </w:rPr>
        <w:t>t</w:t>
      </w:r>
      <w:r w:rsidR="000418D5" w:rsidRPr="002D7D0A">
        <w:rPr>
          <w:bCs/>
        </w:rPr>
        <w:t>ax clearance and value</w:t>
      </w:r>
      <w:r w:rsidR="00B90359" w:rsidRPr="008D248E">
        <w:rPr>
          <w:bCs/>
        </w:rPr>
        <w:t>-</w:t>
      </w:r>
      <w:r w:rsidR="000418D5" w:rsidRPr="002D7D0A">
        <w:rPr>
          <w:bCs/>
        </w:rPr>
        <w:t>added tax</w:t>
      </w:r>
      <w:r w:rsidR="002315F3">
        <w:rPr>
          <w:bCs/>
        </w:rPr>
        <w:t xml:space="preserve">, </w:t>
      </w:r>
      <w:r w:rsidR="008D248E" w:rsidRPr="002D7D0A">
        <w:rPr>
          <w:bCs/>
        </w:rPr>
        <w:t>VAT</w:t>
      </w:r>
      <w:r w:rsidR="002315F3">
        <w:rPr>
          <w:bCs/>
        </w:rPr>
        <w:t xml:space="preserve"> compliance</w:t>
      </w:r>
      <w:r w:rsidR="000418D5" w:rsidRPr="002D7D0A">
        <w:rPr>
          <w:bCs/>
        </w:rPr>
        <w:t xml:space="preserve"> certificates</w:t>
      </w:r>
      <w:r w:rsidR="00B90359">
        <w:rPr>
          <w:bCs/>
        </w:rPr>
        <w:t>;</w:t>
      </w:r>
      <w:r w:rsidR="002315F3">
        <w:rPr>
          <w:bCs/>
        </w:rPr>
        <w:t xml:space="preserve"> relevant company s</w:t>
      </w:r>
      <w:r w:rsidR="000418D5" w:rsidRPr="002D7D0A">
        <w:rPr>
          <w:bCs/>
        </w:rPr>
        <w:t>hareholder and partnership agreements or certificates</w:t>
      </w:r>
      <w:r w:rsidR="002315F3">
        <w:rPr>
          <w:bCs/>
        </w:rPr>
        <w:t xml:space="preserve"> including their identity documents</w:t>
      </w:r>
      <w:r w:rsidR="00B90359">
        <w:rPr>
          <w:bCs/>
        </w:rPr>
        <w:t>;</w:t>
      </w:r>
      <w:r w:rsidR="002315F3">
        <w:rPr>
          <w:bCs/>
        </w:rPr>
        <w:t xml:space="preserve"> certified  and current </w:t>
      </w:r>
      <w:r w:rsidR="00193F9D">
        <w:rPr>
          <w:bCs/>
        </w:rPr>
        <w:t>b</w:t>
      </w:r>
      <w:r w:rsidR="000418D5" w:rsidRPr="002D7D0A">
        <w:rPr>
          <w:bCs/>
        </w:rPr>
        <w:t xml:space="preserve">usiness </w:t>
      </w:r>
      <w:r w:rsidR="002315F3">
        <w:rPr>
          <w:bCs/>
        </w:rPr>
        <w:t xml:space="preserve">bank </w:t>
      </w:r>
      <w:r w:rsidR="000418D5" w:rsidRPr="002D7D0A">
        <w:rPr>
          <w:bCs/>
        </w:rPr>
        <w:t>account details</w:t>
      </w:r>
      <w:r w:rsidR="00B90359">
        <w:rPr>
          <w:bCs/>
        </w:rPr>
        <w:t>;</w:t>
      </w:r>
      <w:r w:rsidR="002315F3">
        <w:rPr>
          <w:bCs/>
        </w:rPr>
        <w:t xml:space="preserve"> and additional relevant </w:t>
      </w:r>
      <w:r w:rsidR="00193F9D">
        <w:rPr>
          <w:bCs/>
        </w:rPr>
        <w:t>s</w:t>
      </w:r>
      <w:r w:rsidR="00EF3606" w:rsidRPr="002D7D0A">
        <w:rPr>
          <w:bCs/>
        </w:rPr>
        <w:t>tatutory affiliations</w:t>
      </w:r>
      <w:r w:rsidR="00B90359">
        <w:rPr>
          <w:bCs/>
        </w:rPr>
        <w:t>.</w:t>
      </w:r>
      <w:r w:rsidR="002315F3">
        <w:rPr>
          <w:bCs/>
        </w:rPr>
        <w:t xml:space="preserve"> These requirements exclude a majority of women entrepreneurs because they are presently not able to meet all the requirements for instance VAT requirements which are given to businesses that have been operating to be able to invoice and register for VAT with SARS. The CJMM gender mainstreaming process outlined below show the city’s intention to enhance the capacity of female business to get to this level.</w:t>
      </w:r>
    </w:p>
    <w:p w:rsidR="00F35C74" w:rsidRPr="002D7D0A" w:rsidRDefault="002315F3" w:rsidP="002D7D0A">
      <w:pPr>
        <w:spacing w:after="120"/>
      </w:pPr>
      <w:r>
        <w:t xml:space="preserve">After registration, service providers can respond to bids. </w:t>
      </w:r>
      <w:r w:rsidR="0007381E" w:rsidRPr="002D7D0A">
        <w:t xml:space="preserve">By </w:t>
      </w:r>
      <w:r w:rsidR="00EF3606" w:rsidRPr="002D7D0A">
        <w:t>bidding</w:t>
      </w:r>
      <w:r w:rsidR="00193F9D">
        <w:t>,</w:t>
      </w:r>
      <w:r w:rsidR="00EF3606" w:rsidRPr="002D7D0A">
        <w:t xml:space="preserve"> the firm can respond to the various types</w:t>
      </w:r>
      <w:r w:rsidR="0007381E" w:rsidRPr="002D7D0A">
        <w:t xml:space="preserve"> </w:t>
      </w:r>
      <w:r w:rsidR="000A74A0" w:rsidRPr="002D7D0A">
        <w:t xml:space="preserve">of bids advertised by the </w:t>
      </w:r>
      <w:r w:rsidR="00193F9D" w:rsidRPr="006763FB">
        <w:t>CJMM</w:t>
      </w:r>
      <w:r w:rsidR="000A74A0" w:rsidRPr="002D7D0A">
        <w:t xml:space="preserve"> for goods and services</w:t>
      </w:r>
      <w:r w:rsidR="00C527C3">
        <w:t>,</w:t>
      </w:r>
      <w:r w:rsidR="000A74A0" w:rsidRPr="002D7D0A">
        <w:t xml:space="preserve"> </w:t>
      </w:r>
      <w:r w:rsidR="0007381E" w:rsidRPr="002D7D0A">
        <w:t>which could be written quotations for amounts between R2</w:t>
      </w:r>
      <w:r w:rsidR="00193F9D">
        <w:t> </w:t>
      </w:r>
      <w:r w:rsidR="0007381E" w:rsidRPr="002D7D0A">
        <w:t>000.00 and R200</w:t>
      </w:r>
      <w:r w:rsidR="00193F9D">
        <w:t> </w:t>
      </w:r>
      <w:r w:rsidR="0007381E" w:rsidRPr="002D7D0A">
        <w:t xml:space="preserve">000.00 excluding VAT; </w:t>
      </w:r>
      <w:r w:rsidR="000614B4" w:rsidRPr="002D7D0A">
        <w:t>competitive bidding process for any amount above R200</w:t>
      </w:r>
      <w:r w:rsidR="00193F9D">
        <w:t> </w:t>
      </w:r>
      <w:r w:rsidR="000A74A0" w:rsidRPr="002D7D0A">
        <w:t>000.00;</w:t>
      </w:r>
      <w:r w:rsidR="000614B4" w:rsidRPr="002D7D0A">
        <w:t xml:space="preserve"> as well as </w:t>
      </w:r>
      <w:r w:rsidR="000A74A0" w:rsidRPr="002D7D0A">
        <w:t>negotiations</w:t>
      </w:r>
      <w:r w:rsidR="000614B4" w:rsidRPr="002D7D0A">
        <w:t>, sole suppliers</w:t>
      </w:r>
      <w:r w:rsidR="00B90359">
        <w:t>,</w:t>
      </w:r>
      <w:r w:rsidR="000614B4" w:rsidRPr="002D7D0A">
        <w:t xml:space="preserve"> and </w:t>
      </w:r>
      <w:r w:rsidR="000A74A0" w:rsidRPr="002D7D0A">
        <w:t>unsolicited</w:t>
      </w:r>
      <w:r w:rsidR="000614B4" w:rsidRPr="002D7D0A">
        <w:t xml:space="preserve"> bids of any amount (</w:t>
      </w:r>
      <w:r w:rsidR="00700EE6">
        <w:t>CoJ</w:t>
      </w:r>
      <w:r w:rsidR="000614B4" w:rsidRPr="002D7D0A">
        <w:t xml:space="preserve">, </w:t>
      </w:r>
      <w:r w:rsidR="000A74A0" w:rsidRPr="002D7D0A">
        <w:t>2009:</w:t>
      </w:r>
      <w:r w:rsidR="000614B4" w:rsidRPr="002D7D0A">
        <w:t>31)</w:t>
      </w:r>
      <w:r w:rsidR="006653B7" w:rsidRPr="002D7D0A">
        <w:t>.</w:t>
      </w:r>
      <w:r w:rsidR="000614B4" w:rsidRPr="002D7D0A">
        <w:t xml:space="preserve"> </w:t>
      </w:r>
      <w:r w:rsidR="00F35C74" w:rsidRPr="002D7D0A">
        <w:t>A major concern for women-owned businesses is not being aware of and not know</w:t>
      </w:r>
      <w:r w:rsidR="00C527C3">
        <w:t>ing</w:t>
      </w:r>
      <w:r w:rsidR="00F35C74" w:rsidRPr="002D7D0A">
        <w:t xml:space="preserve"> where to look for public procurement opportunities</w:t>
      </w:r>
      <w:r w:rsidR="003F4628" w:rsidRPr="002D7D0A">
        <w:t xml:space="preserve">. </w:t>
      </w:r>
      <w:r w:rsidR="00BE7F42" w:rsidRPr="002D7D0A">
        <w:t>Besides</w:t>
      </w:r>
      <w:r w:rsidR="003F4628" w:rsidRPr="002D7D0A">
        <w:t xml:space="preserve">, the application process can </w:t>
      </w:r>
      <w:r w:rsidR="00B90359">
        <w:t>“</w:t>
      </w:r>
      <w:r w:rsidR="003F4628" w:rsidRPr="002D7D0A">
        <w:t xml:space="preserve">dissuade any women-owned </w:t>
      </w:r>
      <w:r w:rsidR="007161CC" w:rsidRPr="002D7D0A">
        <w:t>business</w:t>
      </w:r>
      <w:r w:rsidR="00B90359">
        <w:t>”</w:t>
      </w:r>
      <w:r w:rsidR="007161CC" w:rsidRPr="002D7D0A">
        <w:t xml:space="preserve"> or</w:t>
      </w:r>
      <w:r w:rsidR="003F4628" w:rsidRPr="002D7D0A">
        <w:t xml:space="preserve"> small business to become suppliers because of </w:t>
      </w:r>
      <w:r w:rsidR="00B90359">
        <w:t>“</w:t>
      </w:r>
      <w:r w:rsidR="003F4628" w:rsidRPr="002D7D0A">
        <w:t>limited time and resources</w:t>
      </w:r>
      <w:r w:rsidR="00B90359">
        <w:t>”</w:t>
      </w:r>
      <w:r w:rsidR="003F4628" w:rsidRPr="002D7D0A">
        <w:t xml:space="preserve"> </w:t>
      </w:r>
      <w:r w:rsidR="00F35C74" w:rsidRPr="002D7D0A">
        <w:t>(Chin</w:t>
      </w:r>
      <w:r w:rsidR="00B90359">
        <w:t>,</w:t>
      </w:r>
      <w:r w:rsidR="00F35C74" w:rsidRPr="002D7D0A">
        <w:t xml:space="preserve"> </w:t>
      </w:r>
      <w:r w:rsidR="007161CC" w:rsidRPr="002D7D0A">
        <w:t>2017:</w:t>
      </w:r>
      <w:r w:rsidR="00F35C74" w:rsidRPr="002D7D0A">
        <w:t>50)</w:t>
      </w:r>
      <w:r w:rsidR="003F4628" w:rsidRPr="002D7D0A">
        <w:t>.</w:t>
      </w:r>
      <w:r w:rsidR="00BE7F42" w:rsidRPr="002D7D0A">
        <w:t xml:space="preserve"> Moreover, given the dominance of large firms in securing government tenders</w:t>
      </w:r>
      <w:r w:rsidR="00B90359">
        <w:t>,</w:t>
      </w:r>
      <w:r w:rsidR="00BE7F42" w:rsidRPr="002D7D0A">
        <w:t xml:space="preserve"> both national</w:t>
      </w:r>
      <w:r w:rsidR="00B90359">
        <w:t>ly</w:t>
      </w:r>
      <w:r w:rsidR="00BE7F42" w:rsidRPr="002D7D0A">
        <w:t xml:space="preserve"> and municipal</w:t>
      </w:r>
      <w:r w:rsidR="00B90359">
        <w:t>ly</w:t>
      </w:r>
      <w:r w:rsidR="00BE7F42" w:rsidRPr="002D7D0A">
        <w:t>, unless these explicitly call and make allowances for women-owned businesses to respond</w:t>
      </w:r>
      <w:r w:rsidR="00B90359">
        <w:t>,</w:t>
      </w:r>
      <w:r w:rsidR="00BE7F42" w:rsidRPr="002D7D0A">
        <w:t xml:space="preserve"> they will fail to do so. </w:t>
      </w:r>
    </w:p>
    <w:p w:rsidR="00BE7F42" w:rsidRDefault="006653B7" w:rsidP="002D7D0A">
      <w:pPr>
        <w:pStyle w:val="Heading2"/>
        <w:spacing w:after="120"/>
        <w:rPr>
          <w:bCs/>
        </w:rPr>
      </w:pPr>
      <w:r w:rsidRPr="002D7D0A">
        <w:rPr>
          <w:bCs/>
        </w:rPr>
        <w:t xml:space="preserve">The </w:t>
      </w:r>
      <w:r w:rsidR="002315F3">
        <w:rPr>
          <w:bCs/>
        </w:rPr>
        <w:t xml:space="preserve">city’s </w:t>
      </w:r>
      <w:r w:rsidRPr="002D7D0A">
        <w:rPr>
          <w:bCs/>
        </w:rPr>
        <w:t>SCM</w:t>
      </w:r>
      <w:r w:rsidR="00362607" w:rsidRPr="002D7D0A">
        <w:rPr>
          <w:bCs/>
        </w:rPr>
        <w:t xml:space="preserve"> policy prescribes that </w:t>
      </w:r>
      <w:r w:rsidRPr="002D7D0A">
        <w:rPr>
          <w:bCs/>
        </w:rPr>
        <w:t xml:space="preserve">three </w:t>
      </w:r>
      <w:r w:rsidR="00FE14E3" w:rsidRPr="002D7D0A">
        <w:rPr>
          <w:bCs/>
        </w:rPr>
        <w:t xml:space="preserve">separate </w:t>
      </w:r>
      <w:r w:rsidR="00362607" w:rsidRPr="002D7D0A">
        <w:rPr>
          <w:bCs/>
        </w:rPr>
        <w:t>specific</w:t>
      </w:r>
      <w:r w:rsidRPr="002D7D0A">
        <w:rPr>
          <w:bCs/>
        </w:rPr>
        <w:t xml:space="preserve"> committees </w:t>
      </w:r>
      <w:r w:rsidR="00362607" w:rsidRPr="002D7D0A">
        <w:rPr>
          <w:bCs/>
        </w:rPr>
        <w:t xml:space="preserve">be used for the </w:t>
      </w:r>
      <w:r w:rsidRPr="002D7D0A">
        <w:rPr>
          <w:bCs/>
        </w:rPr>
        <w:t xml:space="preserve">contracting process </w:t>
      </w:r>
      <w:r w:rsidR="008444F2" w:rsidRPr="002D7D0A">
        <w:rPr>
          <w:bCs/>
        </w:rPr>
        <w:t>to ensure that the process is</w:t>
      </w:r>
      <w:r w:rsidR="00193F9D">
        <w:rPr>
          <w:bCs/>
        </w:rPr>
        <w:t xml:space="preserve"> </w:t>
      </w:r>
      <w:r w:rsidR="008444F2" w:rsidRPr="002D7D0A">
        <w:rPr>
          <w:bCs/>
        </w:rPr>
        <w:t>open</w:t>
      </w:r>
      <w:r w:rsidR="00362607" w:rsidRPr="002D7D0A">
        <w:rPr>
          <w:bCs/>
        </w:rPr>
        <w:t>, fair</w:t>
      </w:r>
      <w:r w:rsidR="00B90359">
        <w:rPr>
          <w:bCs/>
        </w:rPr>
        <w:t>,</w:t>
      </w:r>
      <w:r w:rsidR="00362607" w:rsidRPr="002D7D0A">
        <w:rPr>
          <w:bCs/>
        </w:rPr>
        <w:t xml:space="preserve"> and transparent</w:t>
      </w:r>
      <w:r w:rsidRPr="002D7D0A">
        <w:rPr>
          <w:bCs/>
        </w:rPr>
        <w:t>.</w:t>
      </w:r>
      <w:r w:rsidR="00362607" w:rsidRPr="002D7D0A">
        <w:rPr>
          <w:bCs/>
        </w:rPr>
        <w:t xml:space="preserve"> </w:t>
      </w:r>
      <w:r w:rsidRPr="002D7D0A">
        <w:rPr>
          <w:bCs/>
        </w:rPr>
        <w:t xml:space="preserve">These </w:t>
      </w:r>
      <w:r w:rsidR="00362607" w:rsidRPr="002D7D0A">
        <w:rPr>
          <w:bCs/>
        </w:rPr>
        <w:t xml:space="preserve">committees and their corresponding functions </w:t>
      </w:r>
      <w:r w:rsidRPr="002D7D0A">
        <w:rPr>
          <w:bCs/>
        </w:rPr>
        <w:t xml:space="preserve">are shown in Table </w:t>
      </w:r>
      <w:r w:rsidR="00342764">
        <w:rPr>
          <w:bCs/>
        </w:rPr>
        <w:t>3</w:t>
      </w:r>
      <w:r w:rsidR="00110EBA" w:rsidRPr="002D7D0A">
        <w:rPr>
          <w:bCs/>
        </w:rPr>
        <w:t>. An important question at this point is that although the bidding process remains a technical one and the committees are to ensure transparency</w:t>
      </w:r>
      <w:r w:rsidR="00B90359">
        <w:rPr>
          <w:bCs/>
        </w:rPr>
        <w:t>,</w:t>
      </w:r>
      <w:r w:rsidR="00110EBA" w:rsidRPr="002D7D0A">
        <w:rPr>
          <w:bCs/>
        </w:rPr>
        <w:t xml:space="preserve"> if there are no gendered targets at this point</w:t>
      </w:r>
      <w:r w:rsidR="00B90359">
        <w:rPr>
          <w:bCs/>
        </w:rPr>
        <w:t>,</w:t>
      </w:r>
      <w:r w:rsidR="00110EBA" w:rsidRPr="002D7D0A">
        <w:rPr>
          <w:bCs/>
        </w:rPr>
        <w:t xml:space="preserve"> besides the B</w:t>
      </w:r>
      <w:r w:rsidR="00B15DEB">
        <w:rPr>
          <w:bCs/>
        </w:rPr>
        <w:t>BB</w:t>
      </w:r>
      <w:r w:rsidR="00110EBA" w:rsidRPr="002D7D0A">
        <w:rPr>
          <w:bCs/>
        </w:rPr>
        <w:t>EE targets prescribed in policy</w:t>
      </w:r>
      <w:r w:rsidR="00B90359">
        <w:rPr>
          <w:bCs/>
        </w:rPr>
        <w:t>,</w:t>
      </w:r>
      <w:r w:rsidR="00110EBA" w:rsidRPr="002D7D0A">
        <w:rPr>
          <w:bCs/>
        </w:rPr>
        <w:t xml:space="preserve"> how can women-owned business</w:t>
      </w:r>
      <w:r w:rsidR="00B90359">
        <w:rPr>
          <w:bCs/>
        </w:rPr>
        <w:t>es</w:t>
      </w:r>
      <w:r w:rsidR="00110EBA" w:rsidRPr="002D7D0A">
        <w:rPr>
          <w:bCs/>
        </w:rPr>
        <w:t xml:space="preserve"> challenge the status quo and ensure that their bids are even considered?</w:t>
      </w:r>
      <w:r w:rsidR="00FE14E3" w:rsidRPr="002D7D0A">
        <w:rPr>
          <w:bCs/>
        </w:rPr>
        <w:t xml:space="preserve"> </w:t>
      </w:r>
    </w:p>
    <w:p w:rsidR="00AA5CE5" w:rsidRDefault="00AA5CE5" w:rsidP="002D7D0A">
      <w:pPr>
        <w:pStyle w:val="Heading2"/>
        <w:spacing w:after="120"/>
        <w:rPr>
          <w:bCs/>
        </w:rPr>
      </w:pPr>
    </w:p>
    <w:p w:rsidR="00AA5CE5" w:rsidRDefault="00AA5CE5" w:rsidP="002D7D0A">
      <w:pPr>
        <w:pStyle w:val="Heading2"/>
        <w:spacing w:after="120"/>
        <w:rPr>
          <w:bCs/>
        </w:rPr>
      </w:pPr>
    </w:p>
    <w:p w:rsidR="00AA5CE5" w:rsidRDefault="00AA5CE5" w:rsidP="002D7D0A">
      <w:pPr>
        <w:pStyle w:val="Heading2"/>
        <w:spacing w:after="120"/>
        <w:rPr>
          <w:bCs/>
        </w:rPr>
      </w:pPr>
    </w:p>
    <w:p w:rsidR="00AA5CE5" w:rsidRPr="002D7D0A" w:rsidRDefault="00AA5CE5" w:rsidP="002D7D0A">
      <w:pPr>
        <w:pStyle w:val="Heading2"/>
        <w:spacing w:after="120"/>
        <w:rPr>
          <w:bCs/>
        </w:rPr>
      </w:pPr>
    </w:p>
    <w:p w:rsidR="008444F2" w:rsidRPr="002D7D0A" w:rsidRDefault="00BE7F42" w:rsidP="009351EC">
      <w:pPr>
        <w:pStyle w:val="Heading2"/>
        <w:contextualSpacing/>
        <w:rPr>
          <w:b/>
          <w:bCs/>
          <w:sz w:val="20"/>
          <w:szCs w:val="20"/>
        </w:rPr>
      </w:pPr>
      <w:r w:rsidRPr="002D7D0A">
        <w:rPr>
          <w:b/>
          <w:bCs/>
          <w:sz w:val="20"/>
          <w:szCs w:val="20"/>
        </w:rPr>
        <w:t xml:space="preserve">Table </w:t>
      </w:r>
      <w:r w:rsidR="00342764">
        <w:rPr>
          <w:b/>
          <w:bCs/>
          <w:sz w:val="20"/>
          <w:szCs w:val="20"/>
        </w:rPr>
        <w:t>3</w:t>
      </w:r>
      <w:r w:rsidRPr="002D7D0A">
        <w:rPr>
          <w:b/>
          <w:bCs/>
          <w:sz w:val="20"/>
          <w:szCs w:val="20"/>
        </w:rPr>
        <w:t xml:space="preserve">: </w:t>
      </w:r>
      <w:r w:rsidR="00C527C3">
        <w:rPr>
          <w:b/>
          <w:bCs/>
          <w:sz w:val="20"/>
          <w:szCs w:val="20"/>
        </w:rPr>
        <w:t>CJMM</w:t>
      </w:r>
      <w:r w:rsidR="00C527C3" w:rsidRPr="002D7D0A">
        <w:rPr>
          <w:b/>
          <w:bCs/>
          <w:sz w:val="20"/>
          <w:szCs w:val="20"/>
        </w:rPr>
        <w:t xml:space="preserve">’s </w:t>
      </w:r>
      <w:r w:rsidRPr="002D7D0A">
        <w:rPr>
          <w:b/>
          <w:bCs/>
          <w:sz w:val="20"/>
          <w:szCs w:val="20"/>
        </w:rPr>
        <w:t xml:space="preserve">supply chain management </w:t>
      </w:r>
      <w:r w:rsidR="008D248E" w:rsidRPr="008D248E">
        <w:rPr>
          <w:b/>
          <w:bCs/>
          <w:sz w:val="20"/>
          <w:szCs w:val="20"/>
        </w:rPr>
        <w:t>(</w:t>
      </w:r>
      <w:r w:rsidR="008D248E">
        <w:rPr>
          <w:b/>
          <w:bCs/>
          <w:sz w:val="20"/>
          <w:szCs w:val="20"/>
        </w:rPr>
        <w:t xml:space="preserve">SCM) </w:t>
      </w:r>
      <w:r w:rsidRPr="002D7D0A">
        <w:rPr>
          <w:b/>
          <w:bCs/>
          <w:sz w:val="20"/>
          <w:szCs w:val="20"/>
        </w:rPr>
        <w:t>committees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02"/>
        <w:gridCol w:w="3057"/>
        <w:gridCol w:w="3494"/>
      </w:tblGrid>
      <w:tr w:rsidR="008444F2" w:rsidRPr="00DF0C31" w:rsidTr="002D7D0A">
        <w:tc>
          <w:tcPr>
            <w:tcW w:w="982" w:type="pct"/>
            <w:tcBorders>
              <w:top w:val="single" w:sz="12" w:space="0" w:color="auto"/>
              <w:bottom w:val="single" w:sz="12" w:space="0" w:color="auto"/>
            </w:tcBorders>
          </w:tcPr>
          <w:p w:rsidR="008444F2" w:rsidRPr="002D7D0A" w:rsidRDefault="008444F2" w:rsidP="002D7D0A">
            <w:pPr>
              <w:pStyle w:val="Heading2"/>
              <w:spacing w:before="0"/>
              <w:contextualSpacing/>
              <w:rPr>
                <w:b/>
                <w:bCs/>
                <w:sz w:val="20"/>
                <w:szCs w:val="20"/>
              </w:rPr>
            </w:pPr>
            <w:r w:rsidRPr="002D7D0A">
              <w:rPr>
                <w:b/>
                <w:bCs/>
                <w:sz w:val="20"/>
                <w:szCs w:val="20"/>
              </w:rPr>
              <w:t>Committe</w:t>
            </w:r>
            <w:r w:rsidR="0007381E" w:rsidRPr="002D7D0A">
              <w:rPr>
                <w:b/>
                <w:bCs/>
                <w:sz w:val="20"/>
                <w:szCs w:val="20"/>
              </w:rPr>
              <w:t>e</w:t>
            </w:r>
          </w:p>
        </w:tc>
        <w:tc>
          <w:tcPr>
            <w:tcW w:w="1875" w:type="pct"/>
            <w:tcBorders>
              <w:top w:val="single" w:sz="12" w:space="0" w:color="auto"/>
              <w:bottom w:val="single" w:sz="12" w:space="0" w:color="auto"/>
            </w:tcBorders>
          </w:tcPr>
          <w:p w:rsidR="008444F2" w:rsidRPr="002D7D0A" w:rsidRDefault="00506FDE" w:rsidP="002D7D0A">
            <w:pPr>
              <w:pStyle w:val="Heading2"/>
              <w:spacing w:before="0"/>
              <w:contextualSpacing/>
              <w:rPr>
                <w:b/>
                <w:bCs/>
                <w:sz w:val="20"/>
                <w:szCs w:val="20"/>
              </w:rPr>
            </w:pPr>
            <w:r w:rsidRPr="002D7D0A">
              <w:rPr>
                <w:b/>
                <w:bCs/>
                <w:sz w:val="20"/>
                <w:szCs w:val="20"/>
              </w:rPr>
              <w:t xml:space="preserve">Function </w:t>
            </w:r>
          </w:p>
        </w:tc>
        <w:tc>
          <w:tcPr>
            <w:tcW w:w="2143" w:type="pct"/>
            <w:tcBorders>
              <w:top w:val="single" w:sz="12" w:space="0" w:color="auto"/>
              <w:bottom w:val="single" w:sz="12" w:space="0" w:color="auto"/>
            </w:tcBorders>
          </w:tcPr>
          <w:p w:rsidR="008444F2" w:rsidRPr="002D7D0A" w:rsidRDefault="00506FDE" w:rsidP="002D7D0A">
            <w:pPr>
              <w:pStyle w:val="Heading2"/>
              <w:spacing w:before="0"/>
              <w:contextualSpacing/>
              <w:rPr>
                <w:b/>
                <w:bCs/>
                <w:sz w:val="20"/>
                <w:szCs w:val="20"/>
              </w:rPr>
            </w:pPr>
            <w:r w:rsidRPr="002D7D0A">
              <w:rPr>
                <w:b/>
                <w:bCs/>
                <w:sz w:val="20"/>
                <w:szCs w:val="20"/>
              </w:rPr>
              <w:t>Composition</w:t>
            </w:r>
          </w:p>
        </w:tc>
      </w:tr>
      <w:tr w:rsidR="00506FDE" w:rsidRPr="00DF0C31" w:rsidTr="002D7D0A">
        <w:tc>
          <w:tcPr>
            <w:tcW w:w="982" w:type="pct"/>
            <w:tcBorders>
              <w:top w:val="single" w:sz="12" w:space="0" w:color="auto"/>
            </w:tcBorders>
          </w:tcPr>
          <w:p w:rsidR="00506FDE" w:rsidRPr="002D7D0A" w:rsidRDefault="00506FDE" w:rsidP="002D7D0A">
            <w:pPr>
              <w:pStyle w:val="Heading2"/>
              <w:spacing w:before="0"/>
              <w:contextualSpacing/>
              <w:rPr>
                <w:bCs/>
                <w:sz w:val="20"/>
                <w:szCs w:val="20"/>
              </w:rPr>
            </w:pPr>
            <w:r w:rsidRPr="002D7D0A">
              <w:rPr>
                <w:bCs/>
                <w:sz w:val="20"/>
                <w:szCs w:val="20"/>
              </w:rPr>
              <w:t>Bid Specification Committee</w:t>
            </w:r>
          </w:p>
        </w:tc>
        <w:tc>
          <w:tcPr>
            <w:tcW w:w="1875" w:type="pct"/>
            <w:tcBorders>
              <w:top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443"/>
            </w:tblGrid>
            <w:tr w:rsidR="00506FDE" w:rsidRPr="00DF0C31" w:rsidTr="00FE14E3">
              <w:trPr>
                <w:trHeight w:val="356"/>
              </w:trPr>
              <w:tc>
                <w:tcPr>
                  <w:tcW w:w="2443" w:type="dxa"/>
                </w:tcPr>
                <w:p w:rsidR="00506FDE" w:rsidRPr="002D7D0A" w:rsidRDefault="00506FDE" w:rsidP="006763FB">
                  <w:pPr>
                    <w:autoSpaceDE w:val="0"/>
                    <w:autoSpaceDN w:val="0"/>
                    <w:adjustRightInd w:val="0"/>
                    <w:spacing w:before="0"/>
                    <w:rPr>
                      <w:rFonts w:eastAsia="MS Mincho"/>
                      <w:color w:val="000000"/>
                      <w:sz w:val="20"/>
                      <w:szCs w:val="20"/>
                      <w:lang w:eastAsia="tr-TR"/>
                    </w:rPr>
                  </w:pPr>
                  <w:r w:rsidRPr="002D7D0A">
                    <w:rPr>
                      <w:rFonts w:eastAsia="MS Mincho"/>
                      <w:color w:val="000000"/>
                      <w:sz w:val="20"/>
                      <w:szCs w:val="20"/>
                      <w:lang w:eastAsia="tr-TR"/>
                    </w:rPr>
                    <w:t xml:space="preserve">Compiling technical specifications </w:t>
                  </w:r>
                  <w:r w:rsidR="00B90359">
                    <w:rPr>
                      <w:rFonts w:eastAsia="MS Mincho"/>
                      <w:color w:val="000000"/>
                      <w:sz w:val="20"/>
                      <w:szCs w:val="20"/>
                      <w:lang w:eastAsia="tr-TR"/>
                    </w:rPr>
                    <w:t xml:space="preserve">that incorporate </w:t>
                  </w:r>
                  <w:r w:rsidRPr="002D7D0A">
                    <w:rPr>
                      <w:rFonts w:eastAsia="MS Mincho"/>
                      <w:color w:val="000000"/>
                      <w:sz w:val="20"/>
                      <w:szCs w:val="20"/>
                      <w:lang w:eastAsia="tr-TR"/>
                    </w:rPr>
                    <w:t xml:space="preserve">set criteria for the </w:t>
                  </w:r>
                  <w:r w:rsidR="00C527C3">
                    <w:rPr>
                      <w:rFonts w:eastAsia="MS Mincho"/>
                      <w:color w:val="000000"/>
                      <w:sz w:val="20"/>
                      <w:szCs w:val="20"/>
                      <w:lang w:eastAsia="tr-TR"/>
                    </w:rPr>
                    <w:t>CJMM</w:t>
                  </w:r>
                  <w:r w:rsidRPr="002D7D0A">
                    <w:rPr>
                      <w:rFonts w:eastAsia="MS Mincho"/>
                      <w:color w:val="000000"/>
                      <w:sz w:val="20"/>
                      <w:szCs w:val="20"/>
                      <w:lang w:eastAsia="tr-TR"/>
                    </w:rPr>
                    <w:t>’s requirements to be acquired</w:t>
                  </w:r>
                  <w:r w:rsidR="00193F9D">
                    <w:rPr>
                      <w:rFonts w:eastAsia="MS Mincho"/>
                      <w:color w:val="000000"/>
                      <w:sz w:val="20"/>
                      <w:szCs w:val="20"/>
                      <w:lang w:eastAsia="tr-TR"/>
                    </w:rPr>
                    <w:t>.</w:t>
                  </w:r>
                  <w:r w:rsidRPr="002D7D0A">
                    <w:rPr>
                      <w:rFonts w:eastAsia="MS Mincho"/>
                      <w:color w:val="000000"/>
                      <w:sz w:val="20"/>
                      <w:szCs w:val="20"/>
                      <w:lang w:eastAsia="tr-TR"/>
                    </w:rPr>
                    <w:t xml:space="preserve"> </w:t>
                  </w:r>
                </w:p>
              </w:tc>
            </w:tr>
          </w:tbl>
          <w:p w:rsidR="00506FDE" w:rsidRPr="002D7D0A" w:rsidRDefault="00506FDE" w:rsidP="002D7D0A">
            <w:pPr>
              <w:pStyle w:val="Heading2"/>
              <w:spacing w:before="0"/>
              <w:contextualSpacing/>
              <w:rPr>
                <w:bCs/>
                <w:sz w:val="20"/>
                <w:szCs w:val="20"/>
              </w:rPr>
            </w:pPr>
          </w:p>
        </w:tc>
        <w:tc>
          <w:tcPr>
            <w:tcW w:w="2143" w:type="pct"/>
            <w:tcBorders>
              <w:top w:val="single" w:sz="12" w:space="0" w:color="auto"/>
            </w:tcBorders>
          </w:tcPr>
          <w:p w:rsidR="00506FDE" w:rsidRPr="002D7D0A" w:rsidRDefault="00506FDE">
            <w:pPr>
              <w:pStyle w:val="Default"/>
              <w:rPr>
                <w:sz w:val="20"/>
                <w:szCs w:val="20"/>
                <w:lang w:val="en-GB"/>
              </w:rPr>
            </w:pPr>
            <w:r w:rsidRPr="002D7D0A">
              <w:rPr>
                <w:sz w:val="20"/>
                <w:szCs w:val="20"/>
                <w:lang w:val="en-GB"/>
              </w:rPr>
              <w:t xml:space="preserve">At least three </w:t>
            </w:r>
            <w:r w:rsidR="00193F9D">
              <w:rPr>
                <w:sz w:val="20"/>
                <w:szCs w:val="20"/>
                <w:lang w:val="en-GB"/>
              </w:rPr>
              <w:t>c</w:t>
            </w:r>
            <w:r w:rsidRPr="002D7D0A">
              <w:rPr>
                <w:sz w:val="20"/>
                <w:szCs w:val="20"/>
                <w:lang w:val="en-GB"/>
              </w:rPr>
              <w:t xml:space="preserve">ity officials, comprising officials from the user department and SCM representatives. When necessary: </w:t>
            </w:r>
            <w:r w:rsidR="00B90359">
              <w:rPr>
                <w:sz w:val="20"/>
                <w:szCs w:val="20"/>
                <w:lang w:val="en-GB"/>
              </w:rPr>
              <w:t>r</w:t>
            </w:r>
            <w:r w:rsidRPr="002D7D0A">
              <w:rPr>
                <w:sz w:val="20"/>
                <w:szCs w:val="20"/>
                <w:lang w:val="en-GB"/>
              </w:rPr>
              <w:t>epresentatives from the Legal and Compliance Department</w:t>
            </w:r>
            <w:r w:rsidR="00B90359">
              <w:rPr>
                <w:sz w:val="20"/>
                <w:szCs w:val="20"/>
                <w:lang w:val="en-GB"/>
              </w:rPr>
              <w:t>,</w:t>
            </w:r>
            <w:r w:rsidRPr="002D7D0A">
              <w:rPr>
                <w:sz w:val="20"/>
                <w:szCs w:val="20"/>
                <w:lang w:val="en-GB"/>
              </w:rPr>
              <w:t xml:space="preserve"> and external specialist </w:t>
            </w:r>
            <w:r w:rsidR="00B90359">
              <w:rPr>
                <w:sz w:val="20"/>
                <w:szCs w:val="20"/>
                <w:lang w:val="en-GB"/>
              </w:rPr>
              <w:t>a</w:t>
            </w:r>
            <w:r w:rsidRPr="002D7D0A">
              <w:rPr>
                <w:sz w:val="20"/>
                <w:szCs w:val="20"/>
                <w:lang w:val="en-GB"/>
              </w:rPr>
              <w:t xml:space="preserve">dvisors. </w:t>
            </w:r>
          </w:p>
        </w:tc>
      </w:tr>
      <w:tr w:rsidR="00506FDE" w:rsidRPr="00DF0C31" w:rsidTr="002D7D0A">
        <w:tc>
          <w:tcPr>
            <w:tcW w:w="982" w:type="pct"/>
            <w:tcBorders>
              <w:bottom w:val="single" w:sz="4" w:space="0" w:color="auto"/>
            </w:tcBorders>
          </w:tcPr>
          <w:p w:rsidR="00506FDE" w:rsidRPr="002D7D0A" w:rsidRDefault="00506FDE" w:rsidP="002D7D0A">
            <w:pPr>
              <w:pStyle w:val="Heading2"/>
              <w:spacing w:before="0"/>
              <w:contextualSpacing/>
              <w:rPr>
                <w:bCs/>
                <w:sz w:val="20"/>
                <w:szCs w:val="20"/>
              </w:rPr>
            </w:pPr>
            <w:r w:rsidRPr="002D7D0A">
              <w:rPr>
                <w:bCs/>
                <w:sz w:val="20"/>
                <w:szCs w:val="20"/>
              </w:rPr>
              <w:t>Bid Evaluation Committee</w:t>
            </w:r>
          </w:p>
        </w:tc>
        <w:tc>
          <w:tcPr>
            <w:tcW w:w="1875" w:type="pct"/>
            <w:tcBorders>
              <w:bottom w:val="single" w:sz="4" w:space="0" w:color="auto"/>
            </w:tcBorders>
          </w:tcPr>
          <w:p w:rsidR="00506FDE" w:rsidRPr="002D7D0A" w:rsidRDefault="00506FDE">
            <w:pPr>
              <w:pStyle w:val="Default"/>
              <w:rPr>
                <w:sz w:val="20"/>
                <w:szCs w:val="20"/>
                <w:lang w:val="en-GB"/>
              </w:rPr>
            </w:pPr>
            <w:r w:rsidRPr="002D7D0A">
              <w:rPr>
                <w:sz w:val="20"/>
                <w:szCs w:val="20"/>
                <w:lang w:val="en-GB"/>
              </w:rPr>
              <w:t>Evaluation of bids, compilation of comprehensive reports</w:t>
            </w:r>
            <w:r w:rsidR="00B90359">
              <w:rPr>
                <w:sz w:val="20"/>
                <w:szCs w:val="20"/>
                <w:lang w:val="en-GB"/>
              </w:rPr>
              <w:t>,</w:t>
            </w:r>
            <w:r w:rsidRPr="002D7D0A">
              <w:rPr>
                <w:sz w:val="20"/>
                <w:szCs w:val="20"/>
                <w:lang w:val="en-GB"/>
              </w:rPr>
              <w:t xml:space="preserve"> </w:t>
            </w:r>
            <w:r w:rsidR="00B90359">
              <w:rPr>
                <w:sz w:val="20"/>
                <w:szCs w:val="20"/>
                <w:lang w:val="en-GB"/>
              </w:rPr>
              <w:t>and</w:t>
            </w:r>
            <w:r w:rsidR="00B90359" w:rsidRPr="002D7D0A">
              <w:rPr>
                <w:sz w:val="20"/>
                <w:szCs w:val="20"/>
                <w:lang w:val="en-GB"/>
              </w:rPr>
              <w:t xml:space="preserve"> </w:t>
            </w:r>
            <w:r w:rsidRPr="002D7D0A">
              <w:rPr>
                <w:sz w:val="20"/>
                <w:szCs w:val="20"/>
                <w:lang w:val="en-GB"/>
              </w:rPr>
              <w:t>making recommendations for consideration by the respective adjudication committees</w:t>
            </w:r>
            <w:r w:rsidR="00193F9D">
              <w:rPr>
                <w:sz w:val="20"/>
                <w:szCs w:val="20"/>
                <w:lang w:val="en-GB"/>
              </w:rPr>
              <w:t>.</w:t>
            </w:r>
            <w:r w:rsidRPr="002D7D0A">
              <w:rPr>
                <w:sz w:val="20"/>
                <w:szCs w:val="20"/>
                <w:lang w:val="en-GB"/>
              </w:rPr>
              <w:t xml:space="preserve"> </w:t>
            </w:r>
          </w:p>
        </w:tc>
        <w:tc>
          <w:tcPr>
            <w:tcW w:w="2143" w:type="pct"/>
            <w:tcBorders>
              <w:bottom w:val="single" w:sz="4" w:space="0" w:color="auto"/>
            </w:tcBorders>
          </w:tcPr>
          <w:p w:rsidR="00506FDE" w:rsidRPr="002D7D0A" w:rsidRDefault="00506FDE">
            <w:pPr>
              <w:pStyle w:val="Default"/>
              <w:rPr>
                <w:sz w:val="20"/>
                <w:szCs w:val="20"/>
                <w:lang w:val="en-GB"/>
              </w:rPr>
            </w:pPr>
            <w:r w:rsidRPr="002D7D0A">
              <w:rPr>
                <w:sz w:val="20"/>
                <w:szCs w:val="20"/>
                <w:lang w:val="en-GB"/>
              </w:rPr>
              <w:t xml:space="preserve">At least </w:t>
            </w:r>
            <w:r w:rsidR="00B90359">
              <w:rPr>
                <w:sz w:val="20"/>
                <w:szCs w:val="20"/>
                <w:lang w:val="en-GB"/>
              </w:rPr>
              <w:t>three</w:t>
            </w:r>
            <w:r w:rsidRPr="002D7D0A">
              <w:rPr>
                <w:sz w:val="20"/>
                <w:szCs w:val="20"/>
                <w:lang w:val="en-GB"/>
              </w:rPr>
              <w:t xml:space="preserve"> </w:t>
            </w:r>
            <w:r w:rsidR="00193F9D">
              <w:rPr>
                <w:sz w:val="20"/>
                <w:szCs w:val="20"/>
                <w:lang w:val="en-GB"/>
              </w:rPr>
              <w:t>c</w:t>
            </w:r>
            <w:r w:rsidRPr="002D7D0A">
              <w:rPr>
                <w:sz w:val="20"/>
                <w:szCs w:val="20"/>
                <w:lang w:val="en-GB"/>
              </w:rPr>
              <w:t>ity officials, comprising an official from the user department</w:t>
            </w:r>
            <w:r w:rsidR="00B90359">
              <w:rPr>
                <w:sz w:val="20"/>
                <w:szCs w:val="20"/>
                <w:lang w:val="en-GB"/>
              </w:rPr>
              <w:t>,</w:t>
            </w:r>
            <w:r w:rsidRPr="002D7D0A">
              <w:rPr>
                <w:sz w:val="20"/>
                <w:szCs w:val="20"/>
                <w:lang w:val="en-GB"/>
              </w:rPr>
              <w:t xml:space="preserve"> SCM representatives</w:t>
            </w:r>
            <w:r w:rsidR="00B90359">
              <w:rPr>
                <w:sz w:val="20"/>
                <w:szCs w:val="20"/>
                <w:lang w:val="en-GB"/>
              </w:rPr>
              <w:t>,</w:t>
            </w:r>
            <w:r w:rsidRPr="002D7D0A">
              <w:rPr>
                <w:sz w:val="20"/>
                <w:szCs w:val="20"/>
                <w:lang w:val="en-GB"/>
              </w:rPr>
              <w:t xml:space="preserve"> representatives from the Finance and Legal and Compliance Departments</w:t>
            </w:r>
            <w:r w:rsidR="00B90359">
              <w:rPr>
                <w:sz w:val="20"/>
                <w:szCs w:val="20"/>
                <w:lang w:val="en-GB"/>
              </w:rPr>
              <w:t>,</w:t>
            </w:r>
            <w:r w:rsidRPr="002D7D0A">
              <w:rPr>
                <w:sz w:val="20"/>
                <w:szCs w:val="20"/>
                <w:lang w:val="en-GB"/>
              </w:rPr>
              <w:t xml:space="preserve"> and when necessary</w:t>
            </w:r>
            <w:r w:rsidR="00B90359">
              <w:rPr>
                <w:sz w:val="20"/>
                <w:szCs w:val="20"/>
                <w:lang w:val="en-GB"/>
              </w:rPr>
              <w:t>,</w:t>
            </w:r>
            <w:r w:rsidRPr="002D7D0A">
              <w:rPr>
                <w:sz w:val="20"/>
                <w:szCs w:val="20"/>
                <w:lang w:val="en-GB"/>
              </w:rPr>
              <w:t xml:space="preserve"> external specialist advisors</w:t>
            </w:r>
            <w:r w:rsidR="00975FCF">
              <w:rPr>
                <w:sz w:val="20"/>
                <w:szCs w:val="20"/>
                <w:lang w:val="en-GB"/>
              </w:rPr>
              <w:t>.</w:t>
            </w:r>
            <w:r w:rsidRPr="002D7D0A">
              <w:rPr>
                <w:sz w:val="20"/>
                <w:szCs w:val="20"/>
                <w:lang w:val="en-GB"/>
              </w:rPr>
              <w:t xml:space="preserve"> </w:t>
            </w:r>
          </w:p>
        </w:tc>
      </w:tr>
      <w:tr w:rsidR="00506FDE" w:rsidRPr="00DF0C31" w:rsidTr="002D7D0A">
        <w:tc>
          <w:tcPr>
            <w:tcW w:w="982" w:type="pct"/>
            <w:tcBorders>
              <w:top w:val="single" w:sz="4" w:space="0" w:color="auto"/>
              <w:bottom w:val="single" w:sz="12" w:space="0" w:color="auto"/>
            </w:tcBorders>
          </w:tcPr>
          <w:p w:rsidR="00506FDE" w:rsidRPr="002D7D0A" w:rsidRDefault="00506FDE" w:rsidP="002D7D0A">
            <w:pPr>
              <w:pStyle w:val="Heading2"/>
              <w:spacing w:before="0"/>
              <w:contextualSpacing/>
              <w:rPr>
                <w:bCs/>
                <w:sz w:val="20"/>
                <w:szCs w:val="20"/>
              </w:rPr>
            </w:pPr>
            <w:r w:rsidRPr="002D7D0A">
              <w:rPr>
                <w:bCs/>
                <w:sz w:val="20"/>
                <w:szCs w:val="20"/>
              </w:rPr>
              <w:t>Bid Adjudication Committee</w:t>
            </w:r>
          </w:p>
        </w:tc>
        <w:tc>
          <w:tcPr>
            <w:tcW w:w="1875" w:type="pct"/>
            <w:tcBorders>
              <w:top w:val="single" w:sz="4" w:space="0" w:color="auto"/>
              <w:bottom w:val="single" w:sz="12" w:space="0" w:color="auto"/>
            </w:tcBorders>
          </w:tcPr>
          <w:p w:rsidR="00506FDE" w:rsidRPr="002D7D0A" w:rsidRDefault="00506FDE">
            <w:pPr>
              <w:pStyle w:val="Default"/>
              <w:rPr>
                <w:sz w:val="20"/>
                <w:szCs w:val="20"/>
                <w:lang w:val="en-GB"/>
              </w:rPr>
            </w:pPr>
            <w:r w:rsidRPr="002D7D0A">
              <w:rPr>
                <w:sz w:val="20"/>
                <w:szCs w:val="20"/>
                <w:lang w:val="en-GB"/>
              </w:rPr>
              <w:t>Consideration of the recommendations, making final awards</w:t>
            </w:r>
            <w:r w:rsidR="00B90359">
              <w:rPr>
                <w:sz w:val="20"/>
                <w:szCs w:val="20"/>
                <w:lang w:val="en-GB"/>
              </w:rPr>
              <w:t>,</w:t>
            </w:r>
            <w:r w:rsidRPr="002D7D0A">
              <w:rPr>
                <w:sz w:val="20"/>
                <w:szCs w:val="20"/>
                <w:lang w:val="en-GB"/>
              </w:rPr>
              <w:t xml:space="preserve"> and/or referring back to the Bid Evaluation Committee for further analyses</w:t>
            </w:r>
            <w:r w:rsidR="00193F9D">
              <w:rPr>
                <w:sz w:val="20"/>
                <w:szCs w:val="20"/>
                <w:lang w:val="en-GB"/>
              </w:rPr>
              <w:t>.</w:t>
            </w:r>
            <w:r w:rsidRPr="002D7D0A">
              <w:rPr>
                <w:sz w:val="20"/>
                <w:szCs w:val="20"/>
                <w:lang w:val="en-GB"/>
              </w:rPr>
              <w:t xml:space="preserve"> </w:t>
            </w:r>
          </w:p>
        </w:tc>
        <w:tc>
          <w:tcPr>
            <w:tcW w:w="2143" w:type="pct"/>
            <w:tcBorders>
              <w:top w:val="single" w:sz="4" w:space="0" w:color="auto"/>
              <w:bottom w:val="single" w:sz="12" w:space="0" w:color="auto"/>
            </w:tcBorders>
          </w:tcPr>
          <w:p w:rsidR="00506FDE" w:rsidRPr="002D7D0A" w:rsidRDefault="00506FDE" w:rsidP="002D7D0A">
            <w:pPr>
              <w:pStyle w:val="Heading2"/>
              <w:spacing w:before="0"/>
              <w:contextualSpacing/>
              <w:rPr>
                <w:bCs/>
                <w:sz w:val="20"/>
                <w:szCs w:val="20"/>
              </w:rPr>
            </w:pPr>
            <w:r w:rsidRPr="002D7D0A">
              <w:rPr>
                <w:bCs/>
                <w:sz w:val="20"/>
                <w:szCs w:val="20"/>
              </w:rPr>
              <w:t>As per terms of reference</w:t>
            </w:r>
            <w:r w:rsidR="00975FCF">
              <w:rPr>
                <w:bCs/>
                <w:sz w:val="20"/>
                <w:szCs w:val="20"/>
              </w:rPr>
              <w:t>.</w:t>
            </w:r>
          </w:p>
        </w:tc>
      </w:tr>
    </w:tbl>
    <w:p w:rsidR="006653B7" w:rsidRPr="002D7D0A" w:rsidRDefault="00506FDE" w:rsidP="002D7D0A">
      <w:pPr>
        <w:pStyle w:val="Heading2"/>
        <w:spacing w:before="0"/>
        <w:contextualSpacing/>
        <w:rPr>
          <w:bCs/>
          <w:sz w:val="20"/>
          <w:szCs w:val="20"/>
        </w:rPr>
      </w:pPr>
      <w:r w:rsidRPr="002D7D0A">
        <w:rPr>
          <w:bCs/>
          <w:sz w:val="20"/>
          <w:szCs w:val="20"/>
        </w:rPr>
        <w:t xml:space="preserve">Source: </w:t>
      </w:r>
      <w:r w:rsidR="00700EE6" w:rsidRPr="002D7D0A">
        <w:rPr>
          <w:bCs/>
          <w:sz w:val="20"/>
          <w:szCs w:val="20"/>
        </w:rPr>
        <w:t>C</w:t>
      </w:r>
      <w:r w:rsidR="00DD7716">
        <w:rPr>
          <w:bCs/>
          <w:sz w:val="20"/>
          <w:szCs w:val="20"/>
        </w:rPr>
        <w:t>o</w:t>
      </w:r>
      <w:r w:rsidR="00700EE6" w:rsidRPr="002D7D0A">
        <w:rPr>
          <w:bCs/>
          <w:sz w:val="20"/>
          <w:szCs w:val="20"/>
        </w:rPr>
        <w:t>J</w:t>
      </w:r>
      <w:r w:rsidRPr="002D7D0A">
        <w:rPr>
          <w:bCs/>
          <w:sz w:val="20"/>
          <w:szCs w:val="20"/>
        </w:rPr>
        <w:t xml:space="preserve"> </w:t>
      </w:r>
      <w:r w:rsidR="00B90359">
        <w:rPr>
          <w:bCs/>
          <w:sz w:val="20"/>
          <w:szCs w:val="20"/>
        </w:rPr>
        <w:t>(</w:t>
      </w:r>
      <w:r w:rsidRPr="002D7D0A">
        <w:rPr>
          <w:bCs/>
          <w:sz w:val="20"/>
          <w:szCs w:val="20"/>
        </w:rPr>
        <w:t>2009:55</w:t>
      </w:r>
      <w:r w:rsidR="00B90359">
        <w:rPr>
          <w:bCs/>
          <w:sz w:val="20"/>
          <w:szCs w:val="20"/>
        </w:rPr>
        <w:t>)</w:t>
      </w:r>
    </w:p>
    <w:p w:rsidR="00773CB0" w:rsidRDefault="0001475F" w:rsidP="002D7D0A">
      <w:r w:rsidRPr="002D7D0A">
        <w:t>Finally</w:t>
      </w:r>
      <w:r w:rsidR="00975FCF">
        <w:t>,</w:t>
      </w:r>
      <w:r w:rsidRPr="002D7D0A">
        <w:t xml:space="preserve"> the SCM must submit reports</w:t>
      </w:r>
      <w:r w:rsidR="00367CF0">
        <w:t xml:space="preserve"> of</w:t>
      </w:r>
      <w:r w:rsidRPr="002D7D0A">
        <w:t xml:space="preserve"> </w:t>
      </w:r>
      <w:r w:rsidR="002F26E2" w:rsidRPr="002D7D0A">
        <w:t xml:space="preserve">the </w:t>
      </w:r>
      <w:r w:rsidRPr="002D7D0A">
        <w:t>council</w:t>
      </w:r>
      <w:r w:rsidR="002F26E2" w:rsidRPr="002D7D0A">
        <w:t xml:space="preserve"> bids that are awarded each </w:t>
      </w:r>
      <w:r w:rsidR="000A74A0" w:rsidRPr="002D7D0A">
        <w:t>month</w:t>
      </w:r>
      <w:r w:rsidR="00367CF0">
        <w:t>,</w:t>
      </w:r>
      <w:r w:rsidR="002F26E2" w:rsidRPr="002D7D0A">
        <w:t xml:space="preserve"> detailing the amount of each award; the name of the person to whom the award was made; the reason why that award was made to that service provider; the </w:t>
      </w:r>
      <w:r w:rsidR="00B15DEB">
        <w:t>BB</w:t>
      </w:r>
      <w:r w:rsidR="002F26E2" w:rsidRPr="002D7D0A">
        <w:t xml:space="preserve">BEE status of that service </w:t>
      </w:r>
      <w:r w:rsidR="000A74A0" w:rsidRPr="002D7D0A">
        <w:t>provider;</w:t>
      </w:r>
      <w:r w:rsidR="002F26E2" w:rsidRPr="002D7D0A">
        <w:t xml:space="preserve"> </w:t>
      </w:r>
      <w:r w:rsidR="00367CF0">
        <w:t xml:space="preserve">and </w:t>
      </w:r>
      <w:r w:rsidR="002F26E2" w:rsidRPr="002D7D0A">
        <w:t xml:space="preserve">details of the acquisition plan versus the </w:t>
      </w:r>
      <w:r w:rsidR="008D248E" w:rsidRPr="008D248E">
        <w:t>expenditure</w:t>
      </w:r>
      <w:r w:rsidR="002F26E2" w:rsidRPr="002D7D0A">
        <w:t xml:space="preserve"> for</w:t>
      </w:r>
      <w:r w:rsidR="003541F8" w:rsidRPr="002D7D0A">
        <w:t xml:space="preserve"> the particular month (</w:t>
      </w:r>
      <w:r w:rsidR="00700EE6">
        <w:t>CoJ</w:t>
      </w:r>
      <w:r w:rsidR="002F26E2" w:rsidRPr="002D7D0A">
        <w:t xml:space="preserve">, </w:t>
      </w:r>
      <w:r w:rsidR="000A74A0" w:rsidRPr="002D7D0A">
        <w:t>2009:</w:t>
      </w:r>
      <w:r w:rsidR="002F26E2" w:rsidRPr="002D7D0A">
        <w:t>19, 20).</w:t>
      </w:r>
      <w:r w:rsidR="00582D27" w:rsidRPr="002D7D0A">
        <w:t xml:space="preserve"> </w:t>
      </w:r>
      <w:r w:rsidR="008F788D" w:rsidRPr="002D7D0A">
        <w:t>The city’s web</w:t>
      </w:r>
      <w:r w:rsidR="00975FCF">
        <w:t xml:space="preserve"> </w:t>
      </w:r>
      <w:r w:rsidR="008F788D" w:rsidRPr="002D7D0A">
        <w:t>page</w:t>
      </w:r>
      <w:r w:rsidR="00367CF0">
        <w:rPr>
          <w:rStyle w:val="FootnoteReference"/>
          <w:bCs/>
        </w:rPr>
        <w:footnoteReference w:id="1"/>
      </w:r>
      <w:r w:rsidR="008F788D" w:rsidRPr="002D7D0A">
        <w:t xml:space="preserve"> maintains a chronological log of the SCM bid process</w:t>
      </w:r>
      <w:r w:rsidR="00367CF0">
        <w:t>,</w:t>
      </w:r>
      <w:r w:rsidR="008F788D" w:rsidRPr="002D7D0A">
        <w:t xml:space="preserve"> </w:t>
      </w:r>
      <w:r w:rsidR="001E3B72" w:rsidRPr="002D7D0A">
        <w:t xml:space="preserve">including the </w:t>
      </w:r>
      <w:r w:rsidR="00B35E02" w:rsidRPr="002D7D0A">
        <w:t xml:space="preserve">advertised tenders, </w:t>
      </w:r>
      <w:r w:rsidR="001E3B72" w:rsidRPr="002D7D0A">
        <w:t>bid opening register</w:t>
      </w:r>
      <w:r w:rsidR="00B35E02" w:rsidRPr="002D7D0A">
        <w:t>s</w:t>
      </w:r>
      <w:r w:rsidR="001E3B72" w:rsidRPr="002D7D0A">
        <w:t xml:space="preserve"> that show the number of companies responding to various bids</w:t>
      </w:r>
      <w:r w:rsidR="00367CF0">
        <w:t>,</w:t>
      </w:r>
      <w:r w:rsidR="001E3B72" w:rsidRPr="002D7D0A">
        <w:t xml:space="preserve"> and their BB</w:t>
      </w:r>
      <w:r w:rsidR="00975FCF">
        <w:t>B</w:t>
      </w:r>
      <w:r w:rsidR="001E3B72" w:rsidRPr="002D7D0A">
        <w:t>EE status level. C</w:t>
      </w:r>
      <w:r w:rsidR="008F788D" w:rsidRPr="002D7D0A">
        <w:t>ontracts awarded to the various council departments and municipal entities</w:t>
      </w:r>
      <w:r w:rsidR="001E3B72" w:rsidRPr="002D7D0A">
        <w:t xml:space="preserve"> are also maintained by the SCM unit</w:t>
      </w:r>
      <w:r w:rsidR="008F788D" w:rsidRPr="002D7D0A">
        <w:t xml:space="preserve">. </w:t>
      </w:r>
      <w:r w:rsidR="00A5518F" w:rsidRPr="002D7D0A">
        <w:t>These documents are available as far back as five years.</w:t>
      </w:r>
      <w:r w:rsidR="00773CB0" w:rsidRPr="002D7D0A">
        <w:t xml:space="preserve"> Table </w:t>
      </w:r>
      <w:r w:rsidR="00342764">
        <w:t>4</w:t>
      </w:r>
      <w:r w:rsidR="00773CB0" w:rsidRPr="002D7D0A">
        <w:t xml:space="preserve"> shows an example of contract</w:t>
      </w:r>
      <w:r w:rsidR="00367CF0">
        <w:t>s</w:t>
      </w:r>
      <w:r w:rsidR="00773CB0" w:rsidRPr="002D7D0A">
        <w:t xml:space="preserve"> awarded by Pikitup, a municipal entity concerned with refuse collection in Johannesburg. </w:t>
      </w:r>
    </w:p>
    <w:p w:rsidR="00AA5CE5" w:rsidRDefault="00AA5CE5" w:rsidP="002D7D0A"/>
    <w:p w:rsidR="00AA5CE5" w:rsidRDefault="00AA5CE5" w:rsidP="002D7D0A"/>
    <w:p w:rsidR="00AA5CE5" w:rsidRDefault="00AA5CE5" w:rsidP="002D7D0A"/>
    <w:p w:rsidR="00A5518F" w:rsidRPr="002D7D0A" w:rsidRDefault="001C4D4B" w:rsidP="009351EC">
      <w:pPr>
        <w:pStyle w:val="Heading2"/>
        <w:rPr>
          <w:b/>
          <w:bCs/>
          <w:sz w:val="20"/>
          <w:szCs w:val="20"/>
        </w:rPr>
      </w:pPr>
      <w:r w:rsidRPr="002D7D0A">
        <w:rPr>
          <w:b/>
          <w:bCs/>
          <w:sz w:val="20"/>
          <w:szCs w:val="20"/>
        </w:rPr>
        <w:t xml:space="preserve">Table </w:t>
      </w:r>
      <w:r w:rsidR="00342764">
        <w:rPr>
          <w:b/>
          <w:bCs/>
          <w:sz w:val="20"/>
          <w:szCs w:val="20"/>
        </w:rPr>
        <w:t>4</w:t>
      </w:r>
      <w:r w:rsidRPr="002D7D0A">
        <w:rPr>
          <w:b/>
          <w:bCs/>
          <w:sz w:val="20"/>
          <w:szCs w:val="20"/>
        </w:rPr>
        <w:t xml:space="preserve">: Contracts </w:t>
      </w:r>
      <w:r w:rsidR="00975FCF">
        <w:rPr>
          <w:b/>
          <w:bCs/>
          <w:sz w:val="20"/>
          <w:szCs w:val="20"/>
        </w:rPr>
        <w:t>a</w:t>
      </w:r>
      <w:r w:rsidRPr="002D7D0A">
        <w:rPr>
          <w:b/>
          <w:bCs/>
          <w:sz w:val="20"/>
          <w:szCs w:val="20"/>
        </w:rPr>
        <w:t>warded by Pikitup March 2017</w:t>
      </w:r>
    </w:p>
    <w:tbl>
      <w:tblPr>
        <w:tblStyle w:val="TableGrid"/>
        <w:tblW w:w="5000" w:type="pct"/>
        <w:tblBorders>
          <w:top w:val="none" w:sz="0" w:space="0" w:color="auto"/>
          <w:left w:val="none" w:sz="0" w:space="0" w:color="auto"/>
          <w:bottom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1996"/>
        <w:gridCol w:w="1640"/>
        <w:gridCol w:w="2045"/>
        <w:gridCol w:w="1458"/>
        <w:gridCol w:w="1014"/>
      </w:tblGrid>
      <w:tr w:rsidR="001C4D4B" w:rsidRPr="00DF0C31" w:rsidTr="002D7D0A">
        <w:tc>
          <w:tcPr>
            <w:tcW w:w="1224" w:type="pct"/>
            <w:tcBorders>
              <w:top w:val="single" w:sz="12" w:space="0" w:color="auto"/>
              <w:bottom w:val="single" w:sz="12" w:space="0" w:color="auto"/>
            </w:tcBorders>
          </w:tcPr>
          <w:p w:rsidR="001C4D4B" w:rsidRPr="002D7D0A" w:rsidRDefault="001C4D4B" w:rsidP="002D7D0A">
            <w:pPr>
              <w:pStyle w:val="Heading2"/>
              <w:spacing w:before="0"/>
              <w:rPr>
                <w:b/>
                <w:bCs/>
                <w:sz w:val="20"/>
                <w:szCs w:val="20"/>
              </w:rPr>
            </w:pPr>
            <w:r w:rsidRPr="002D7D0A">
              <w:rPr>
                <w:b/>
                <w:bCs/>
                <w:sz w:val="20"/>
                <w:szCs w:val="20"/>
              </w:rPr>
              <w:t>Description</w:t>
            </w:r>
          </w:p>
        </w:tc>
        <w:tc>
          <w:tcPr>
            <w:tcW w:w="1006" w:type="pct"/>
            <w:tcBorders>
              <w:top w:val="single" w:sz="12" w:space="0" w:color="auto"/>
              <w:bottom w:val="single" w:sz="12" w:space="0" w:color="auto"/>
            </w:tcBorders>
          </w:tcPr>
          <w:p w:rsidR="001C4D4B" w:rsidRPr="002D7D0A" w:rsidRDefault="001C4D4B" w:rsidP="002D7D0A">
            <w:pPr>
              <w:pStyle w:val="Heading2"/>
              <w:spacing w:before="0"/>
              <w:rPr>
                <w:b/>
                <w:bCs/>
                <w:sz w:val="20"/>
                <w:szCs w:val="20"/>
              </w:rPr>
            </w:pPr>
            <w:r w:rsidRPr="002D7D0A">
              <w:rPr>
                <w:b/>
                <w:bCs/>
                <w:sz w:val="20"/>
                <w:szCs w:val="20"/>
              </w:rPr>
              <w:t>Awarded to</w:t>
            </w:r>
          </w:p>
        </w:tc>
        <w:tc>
          <w:tcPr>
            <w:tcW w:w="1254" w:type="pct"/>
            <w:tcBorders>
              <w:top w:val="single" w:sz="12" w:space="0" w:color="auto"/>
              <w:bottom w:val="single" w:sz="12" w:space="0" w:color="auto"/>
            </w:tcBorders>
          </w:tcPr>
          <w:p w:rsidR="001C4D4B" w:rsidRPr="002D7D0A" w:rsidRDefault="0023150A" w:rsidP="002D7D0A">
            <w:pPr>
              <w:pStyle w:val="Heading2"/>
              <w:spacing w:before="0"/>
              <w:rPr>
                <w:b/>
                <w:bCs/>
                <w:sz w:val="20"/>
                <w:szCs w:val="20"/>
              </w:rPr>
            </w:pPr>
            <w:r w:rsidRPr="002D7D0A">
              <w:rPr>
                <w:b/>
                <w:bCs/>
                <w:sz w:val="20"/>
                <w:szCs w:val="20"/>
              </w:rPr>
              <w:t>Amount</w:t>
            </w:r>
          </w:p>
        </w:tc>
        <w:tc>
          <w:tcPr>
            <w:tcW w:w="894" w:type="pct"/>
            <w:tcBorders>
              <w:top w:val="single" w:sz="12" w:space="0" w:color="auto"/>
              <w:bottom w:val="single" w:sz="12" w:space="0" w:color="auto"/>
            </w:tcBorders>
          </w:tcPr>
          <w:p w:rsidR="001C4D4B" w:rsidRPr="002D7D0A" w:rsidRDefault="00B15DEB" w:rsidP="002D7D0A">
            <w:pPr>
              <w:pStyle w:val="Heading2"/>
              <w:spacing w:before="0"/>
              <w:rPr>
                <w:b/>
                <w:bCs/>
                <w:sz w:val="20"/>
                <w:szCs w:val="20"/>
              </w:rPr>
            </w:pPr>
            <w:r>
              <w:rPr>
                <w:b/>
                <w:bCs/>
                <w:sz w:val="20"/>
                <w:szCs w:val="20"/>
              </w:rPr>
              <w:t>B</w:t>
            </w:r>
            <w:r w:rsidR="001C4D4B" w:rsidRPr="002D7D0A">
              <w:rPr>
                <w:b/>
                <w:bCs/>
                <w:sz w:val="20"/>
                <w:szCs w:val="20"/>
              </w:rPr>
              <w:t>BBEE</w:t>
            </w:r>
          </w:p>
        </w:tc>
        <w:tc>
          <w:tcPr>
            <w:tcW w:w="622" w:type="pct"/>
            <w:tcBorders>
              <w:top w:val="single" w:sz="12" w:space="0" w:color="auto"/>
              <w:bottom w:val="single" w:sz="12" w:space="0" w:color="auto"/>
            </w:tcBorders>
          </w:tcPr>
          <w:p w:rsidR="001C4D4B" w:rsidRPr="002D7D0A" w:rsidRDefault="001C4D4B" w:rsidP="002D7D0A">
            <w:pPr>
              <w:pStyle w:val="Heading2"/>
              <w:spacing w:before="0"/>
              <w:rPr>
                <w:b/>
                <w:bCs/>
                <w:sz w:val="20"/>
                <w:szCs w:val="20"/>
              </w:rPr>
            </w:pPr>
            <w:r w:rsidRPr="002D7D0A">
              <w:rPr>
                <w:b/>
                <w:bCs/>
                <w:sz w:val="20"/>
                <w:szCs w:val="20"/>
              </w:rPr>
              <w:t xml:space="preserve">Points </w:t>
            </w:r>
          </w:p>
        </w:tc>
      </w:tr>
      <w:tr w:rsidR="001C4D4B" w:rsidRPr="00DF0C31" w:rsidTr="002D7D0A">
        <w:tc>
          <w:tcPr>
            <w:tcW w:w="1224" w:type="pct"/>
            <w:tcBorders>
              <w:top w:val="single" w:sz="12" w:space="0" w:color="auto"/>
            </w:tcBorders>
          </w:tcPr>
          <w:p w:rsidR="001C4D4B" w:rsidRPr="00DF0C31" w:rsidRDefault="0023150A">
            <w:pPr>
              <w:autoSpaceDE w:val="0"/>
              <w:autoSpaceDN w:val="0"/>
              <w:adjustRightInd w:val="0"/>
              <w:spacing w:before="0"/>
              <w:rPr>
                <w:rFonts w:eastAsia="MS Mincho"/>
                <w:color w:val="000000"/>
                <w:sz w:val="20"/>
                <w:szCs w:val="20"/>
                <w:lang w:eastAsia="tr-TR"/>
              </w:rPr>
            </w:pPr>
            <w:r w:rsidRPr="00DF0C31">
              <w:rPr>
                <w:rFonts w:eastAsia="MS Mincho"/>
                <w:color w:val="000000"/>
                <w:sz w:val="20"/>
                <w:szCs w:val="20"/>
                <w:lang w:eastAsia="tr-TR"/>
              </w:rPr>
              <w:t>PUD15/2016</w:t>
            </w:r>
          </w:p>
          <w:p w:rsidR="0023150A" w:rsidRPr="00DF0C31" w:rsidRDefault="0023150A">
            <w:pPr>
              <w:autoSpaceDE w:val="0"/>
              <w:autoSpaceDN w:val="0"/>
              <w:adjustRightInd w:val="0"/>
              <w:spacing w:before="0"/>
              <w:rPr>
                <w:rFonts w:eastAsia="MS Mincho"/>
                <w:color w:val="000000"/>
                <w:sz w:val="20"/>
                <w:szCs w:val="20"/>
                <w:lang w:eastAsia="tr-TR"/>
              </w:rPr>
            </w:pPr>
            <w:r w:rsidRPr="00DF0C31">
              <w:rPr>
                <w:rFonts w:eastAsia="MS Mincho"/>
                <w:color w:val="000000"/>
                <w:sz w:val="20"/>
                <w:szCs w:val="20"/>
                <w:lang w:eastAsia="tr-TR"/>
              </w:rPr>
              <w:t>Supply and deliver general cleaning materials and equipment as and when required</w:t>
            </w:r>
          </w:p>
          <w:p w:rsidR="001C4D4B" w:rsidRPr="002D7D0A" w:rsidRDefault="0023150A">
            <w:pPr>
              <w:autoSpaceDE w:val="0"/>
              <w:autoSpaceDN w:val="0"/>
              <w:adjustRightInd w:val="0"/>
              <w:spacing w:before="0"/>
              <w:rPr>
                <w:bCs/>
                <w:sz w:val="20"/>
                <w:szCs w:val="20"/>
              </w:rPr>
            </w:pPr>
            <w:r w:rsidRPr="00DF0C31">
              <w:rPr>
                <w:rFonts w:eastAsia="MS Mincho"/>
                <w:color w:val="000000"/>
                <w:sz w:val="20"/>
                <w:szCs w:val="20"/>
                <w:lang w:eastAsia="tr-TR"/>
              </w:rPr>
              <w:t>Period: 2 years</w:t>
            </w:r>
          </w:p>
        </w:tc>
        <w:tc>
          <w:tcPr>
            <w:tcW w:w="1006" w:type="pct"/>
            <w:tcBorders>
              <w:top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1424"/>
            </w:tblGrid>
            <w:tr w:rsidR="001C4D4B" w:rsidRPr="00DF0C31">
              <w:trPr>
                <w:trHeight w:val="191"/>
              </w:trPr>
              <w:tc>
                <w:tcPr>
                  <w:tcW w:w="0" w:type="auto"/>
                </w:tcPr>
                <w:p w:rsidR="001C4D4B" w:rsidRPr="00DF0C31" w:rsidRDefault="00367CF0">
                  <w:pPr>
                    <w:autoSpaceDE w:val="0"/>
                    <w:autoSpaceDN w:val="0"/>
                    <w:adjustRightInd w:val="0"/>
                    <w:spacing w:before="0"/>
                    <w:rPr>
                      <w:rFonts w:eastAsia="MS Mincho"/>
                      <w:color w:val="000000"/>
                      <w:sz w:val="20"/>
                      <w:szCs w:val="20"/>
                      <w:lang w:eastAsia="tr-TR"/>
                    </w:rPr>
                  </w:pPr>
                  <w:r w:rsidRPr="00DF0C31">
                    <w:rPr>
                      <w:rFonts w:eastAsia="MS Mincho"/>
                      <w:color w:val="000000"/>
                      <w:sz w:val="20"/>
                      <w:szCs w:val="20"/>
                      <w:lang w:eastAsia="tr-TR"/>
                    </w:rPr>
                    <w:t xml:space="preserve">Mpumo Supply </w:t>
                  </w:r>
                  <w:r>
                    <w:rPr>
                      <w:rFonts w:eastAsia="MS Mincho"/>
                      <w:color w:val="000000"/>
                      <w:sz w:val="20"/>
                      <w:szCs w:val="20"/>
                      <w:lang w:eastAsia="tr-TR"/>
                    </w:rPr>
                    <w:t>a</w:t>
                  </w:r>
                  <w:r w:rsidRPr="00DF0C31">
                    <w:rPr>
                      <w:rFonts w:eastAsia="MS Mincho"/>
                      <w:color w:val="000000"/>
                      <w:sz w:val="20"/>
                      <w:szCs w:val="20"/>
                      <w:lang w:eastAsia="tr-TR"/>
                    </w:rPr>
                    <w:t>nd Distribution Cc</w:t>
                  </w:r>
                </w:p>
              </w:tc>
            </w:tr>
          </w:tbl>
          <w:p w:rsidR="001C4D4B" w:rsidRPr="002D7D0A" w:rsidRDefault="001C4D4B" w:rsidP="002D7D0A">
            <w:pPr>
              <w:pStyle w:val="Heading2"/>
              <w:spacing w:before="0"/>
              <w:rPr>
                <w:bCs/>
                <w:sz w:val="20"/>
                <w:szCs w:val="20"/>
              </w:rPr>
            </w:pPr>
          </w:p>
        </w:tc>
        <w:tc>
          <w:tcPr>
            <w:tcW w:w="1254" w:type="pct"/>
            <w:tcBorders>
              <w:top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1300"/>
            </w:tblGrid>
            <w:tr w:rsidR="001C4D4B" w:rsidRPr="00DF0C31">
              <w:trPr>
                <w:trHeight w:val="82"/>
              </w:trPr>
              <w:tc>
                <w:tcPr>
                  <w:tcW w:w="0" w:type="auto"/>
                </w:tcPr>
                <w:p w:rsidR="001C4D4B" w:rsidRPr="00DF0C31" w:rsidRDefault="001C4D4B">
                  <w:pPr>
                    <w:autoSpaceDE w:val="0"/>
                    <w:autoSpaceDN w:val="0"/>
                    <w:adjustRightInd w:val="0"/>
                    <w:spacing w:before="0"/>
                    <w:rPr>
                      <w:rFonts w:eastAsia="MS Mincho"/>
                      <w:color w:val="000000"/>
                      <w:sz w:val="20"/>
                      <w:szCs w:val="20"/>
                      <w:lang w:eastAsia="tr-TR"/>
                    </w:rPr>
                  </w:pPr>
                  <w:r w:rsidRPr="00DF0C31">
                    <w:rPr>
                      <w:rFonts w:eastAsia="MS Mincho"/>
                      <w:color w:val="000000"/>
                      <w:sz w:val="20"/>
                      <w:szCs w:val="20"/>
                      <w:lang w:eastAsia="tr-TR"/>
                    </w:rPr>
                    <w:t>R3 363 424.2</w:t>
                  </w:r>
                </w:p>
              </w:tc>
            </w:tr>
          </w:tbl>
          <w:p w:rsidR="001C4D4B" w:rsidRPr="002D7D0A" w:rsidRDefault="001C4D4B" w:rsidP="002D7D0A">
            <w:pPr>
              <w:pStyle w:val="Heading2"/>
              <w:spacing w:before="0"/>
              <w:rPr>
                <w:bCs/>
                <w:sz w:val="20"/>
                <w:szCs w:val="20"/>
              </w:rPr>
            </w:pPr>
          </w:p>
        </w:tc>
        <w:tc>
          <w:tcPr>
            <w:tcW w:w="894" w:type="pct"/>
            <w:tcBorders>
              <w:top w:val="single" w:sz="12" w:space="0" w:color="auto"/>
            </w:tcBorders>
          </w:tcPr>
          <w:p w:rsidR="001C4D4B" w:rsidRPr="002D7D0A" w:rsidRDefault="001C4D4B" w:rsidP="002D7D0A">
            <w:pPr>
              <w:pStyle w:val="Heading2"/>
              <w:spacing w:before="0"/>
              <w:rPr>
                <w:bCs/>
                <w:sz w:val="20"/>
                <w:szCs w:val="20"/>
              </w:rPr>
            </w:pPr>
            <w:r w:rsidRPr="002D7D0A">
              <w:rPr>
                <w:bCs/>
                <w:sz w:val="20"/>
                <w:szCs w:val="20"/>
              </w:rPr>
              <w:t>Level 1</w:t>
            </w:r>
          </w:p>
        </w:tc>
        <w:tc>
          <w:tcPr>
            <w:tcW w:w="622" w:type="pct"/>
            <w:tcBorders>
              <w:top w:val="single" w:sz="12" w:space="0" w:color="auto"/>
            </w:tcBorders>
          </w:tcPr>
          <w:p w:rsidR="001C4D4B" w:rsidRPr="002D7D0A" w:rsidRDefault="001C4D4B" w:rsidP="002D7D0A">
            <w:pPr>
              <w:pStyle w:val="Heading2"/>
              <w:spacing w:before="0"/>
              <w:rPr>
                <w:bCs/>
                <w:sz w:val="20"/>
                <w:szCs w:val="20"/>
              </w:rPr>
            </w:pPr>
            <w:r w:rsidRPr="002D7D0A">
              <w:rPr>
                <w:bCs/>
                <w:sz w:val="20"/>
                <w:szCs w:val="20"/>
              </w:rPr>
              <w:t>100</w:t>
            </w:r>
          </w:p>
        </w:tc>
      </w:tr>
      <w:tr w:rsidR="001C4D4B" w:rsidRPr="00DF0C31" w:rsidTr="002D7D0A">
        <w:tc>
          <w:tcPr>
            <w:tcW w:w="1224" w:type="pct"/>
            <w:tcBorders>
              <w:bottom w:val="single" w:sz="6" w:space="0" w:color="auto"/>
            </w:tcBorders>
          </w:tcPr>
          <w:p w:rsidR="001C4D4B" w:rsidRPr="00DF0C31" w:rsidRDefault="0023150A">
            <w:pPr>
              <w:autoSpaceDE w:val="0"/>
              <w:autoSpaceDN w:val="0"/>
              <w:adjustRightInd w:val="0"/>
              <w:spacing w:before="0"/>
              <w:rPr>
                <w:rFonts w:eastAsia="MS Mincho"/>
                <w:color w:val="000000"/>
                <w:sz w:val="20"/>
                <w:szCs w:val="20"/>
                <w:lang w:eastAsia="tr-TR"/>
              </w:rPr>
            </w:pPr>
            <w:r w:rsidRPr="00DF0C31">
              <w:rPr>
                <w:rFonts w:eastAsia="MS Mincho"/>
                <w:color w:val="000000"/>
                <w:sz w:val="20"/>
                <w:szCs w:val="20"/>
                <w:lang w:eastAsia="tr-TR"/>
              </w:rPr>
              <w:t>PUD 19/2016</w:t>
            </w:r>
          </w:p>
          <w:p w:rsidR="0023150A" w:rsidRPr="00DF0C31" w:rsidRDefault="0023150A">
            <w:pPr>
              <w:autoSpaceDE w:val="0"/>
              <w:autoSpaceDN w:val="0"/>
              <w:adjustRightInd w:val="0"/>
              <w:spacing w:before="0"/>
              <w:rPr>
                <w:rFonts w:eastAsia="MS Mincho"/>
                <w:color w:val="000000"/>
                <w:sz w:val="20"/>
                <w:szCs w:val="20"/>
                <w:lang w:eastAsia="tr-TR"/>
              </w:rPr>
            </w:pPr>
            <w:r w:rsidRPr="00DF0C31">
              <w:rPr>
                <w:rFonts w:eastAsia="MS Mincho"/>
                <w:color w:val="000000"/>
                <w:sz w:val="20"/>
                <w:szCs w:val="20"/>
                <w:lang w:eastAsia="tr-TR"/>
              </w:rPr>
              <w:t>Supply, deliver, installation</w:t>
            </w:r>
            <w:r w:rsidR="00367CF0">
              <w:rPr>
                <w:rFonts w:eastAsia="MS Mincho"/>
                <w:color w:val="000000"/>
                <w:sz w:val="20"/>
                <w:szCs w:val="20"/>
                <w:lang w:eastAsia="tr-TR"/>
              </w:rPr>
              <w:t>,</w:t>
            </w:r>
            <w:r w:rsidRPr="00DF0C31">
              <w:rPr>
                <w:rFonts w:eastAsia="MS Mincho"/>
                <w:color w:val="000000"/>
                <w:sz w:val="20"/>
                <w:szCs w:val="20"/>
                <w:lang w:eastAsia="tr-TR"/>
              </w:rPr>
              <w:t xml:space="preserve"> and maintenance of multifunction printers</w:t>
            </w:r>
          </w:p>
          <w:p w:rsidR="001C4D4B" w:rsidRPr="00DF0C31" w:rsidRDefault="0023150A">
            <w:pPr>
              <w:autoSpaceDE w:val="0"/>
              <w:autoSpaceDN w:val="0"/>
              <w:adjustRightInd w:val="0"/>
              <w:spacing w:before="0"/>
              <w:rPr>
                <w:rFonts w:eastAsia="MS Mincho"/>
                <w:color w:val="000000"/>
                <w:sz w:val="20"/>
                <w:szCs w:val="20"/>
                <w:lang w:eastAsia="tr-TR"/>
              </w:rPr>
            </w:pPr>
            <w:r w:rsidRPr="00DF0C31">
              <w:rPr>
                <w:rFonts w:eastAsia="MS Mincho"/>
                <w:color w:val="000000"/>
                <w:sz w:val="20"/>
                <w:szCs w:val="20"/>
                <w:lang w:eastAsia="tr-TR"/>
              </w:rPr>
              <w:t>Period: 3 years</w:t>
            </w:r>
          </w:p>
        </w:tc>
        <w:tc>
          <w:tcPr>
            <w:tcW w:w="1006" w:type="pct"/>
            <w:tcBorders>
              <w:bottom w:val="single" w:sz="6" w:space="0" w:color="auto"/>
            </w:tcBorders>
          </w:tcPr>
          <w:tbl>
            <w:tblPr>
              <w:tblW w:w="0" w:type="auto"/>
              <w:tblBorders>
                <w:top w:val="nil"/>
                <w:left w:val="nil"/>
                <w:bottom w:val="nil"/>
                <w:right w:val="nil"/>
              </w:tblBorders>
              <w:tblLook w:val="0000" w:firstRow="0" w:lastRow="0" w:firstColumn="0" w:lastColumn="0" w:noHBand="0" w:noVBand="0"/>
            </w:tblPr>
            <w:tblGrid>
              <w:gridCol w:w="1424"/>
            </w:tblGrid>
            <w:tr w:rsidR="001C4D4B" w:rsidRPr="00DF0C31">
              <w:trPr>
                <w:trHeight w:val="191"/>
              </w:trPr>
              <w:tc>
                <w:tcPr>
                  <w:tcW w:w="0" w:type="auto"/>
                </w:tcPr>
                <w:p w:rsidR="001C4D4B" w:rsidRPr="00DF0C31" w:rsidRDefault="00367CF0">
                  <w:pPr>
                    <w:autoSpaceDE w:val="0"/>
                    <w:autoSpaceDN w:val="0"/>
                    <w:adjustRightInd w:val="0"/>
                    <w:spacing w:before="0"/>
                    <w:rPr>
                      <w:rFonts w:eastAsia="MS Mincho"/>
                      <w:color w:val="000000"/>
                      <w:sz w:val="20"/>
                      <w:szCs w:val="20"/>
                      <w:lang w:eastAsia="tr-TR"/>
                    </w:rPr>
                  </w:pPr>
                  <w:r w:rsidRPr="00DF0C31">
                    <w:rPr>
                      <w:rFonts w:eastAsia="MS Mincho"/>
                      <w:color w:val="000000"/>
                      <w:sz w:val="20"/>
                      <w:szCs w:val="20"/>
                      <w:lang w:eastAsia="tr-TR"/>
                    </w:rPr>
                    <w:t>Konica Minolta South Africa</w:t>
                  </w:r>
                </w:p>
              </w:tc>
            </w:tr>
          </w:tbl>
          <w:p w:rsidR="001C4D4B" w:rsidRPr="002D7D0A" w:rsidRDefault="001C4D4B" w:rsidP="002D7D0A">
            <w:pPr>
              <w:pStyle w:val="Heading2"/>
              <w:spacing w:before="0"/>
              <w:rPr>
                <w:bCs/>
                <w:sz w:val="20"/>
                <w:szCs w:val="20"/>
              </w:rPr>
            </w:pPr>
          </w:p>
        </w:tc>
        <w:tc>
          <w:tcPr>
            <w:tcW w:w="1254" w:type="pct"/>
            <w:tcBorders>
              <w:bottom w:val="single" w:sz="6" w:space="0" w:color="auto"/>
            </w:tcBorders>
          </w:tcPr>
          <w:tbl>
            <w:tblPr>
              <w:tblW w:w="0" w:type="auto"/>
              <w:tblBorders>
                <w:top w:val="nil"/>
                <w:left w:val="nil"/>
                <w:bottom w:val="nil"/>
                <w:right w:val="nil"/>
              </w:tblBorders>
              <w:tblLook w:val="0000" w:firstRow="0" w:lastRow="0" w:firstColumn="0" w:lastColumn="0" w:noHBand="0" w:noVBand="0"/>
            </w:tblPr>
            <w:tblGrid>
              <w:gridCol w:w="1400"/>
            </w:tblGrid>
            <w:tr w:rsidR="001C4D4B" w:rsidRPr="00DF0C31">
              <w:trPr>
                <w:trHeight w:val="82"/>
              </w:trPr>
              <w:tc>
                <w:tcPr>
                  <w:tcW w:w="0" w:type="auto"/>
                </w:tcPr>
                <w:p w:rsidR="001C4D4B" w:rsidRPr="00DF0C31" w:rsidRDefault="001C4D4B">
                  <w:pPr>
                    <w:autoSpaceDE w:val="0"/>
                    <w:autoSpaceDN w:val="0"/>
                    <w:adjustRightInd w:val="0"/>
                    <w:spacing w:before="0"/>
                    <w:rPr>
                      <w:rFonts w:eastAsia="MS Mincho"/>
                      <w:color w:val="000000"/>
                      <w:sz w:val="20"/>
                      <w:szCs w:val="20"/>
                      <w:lang w:eastAsia="tr-TR"/>
                    </w:rPr>
                  </w:pPr>
                  <w:r w:rsidRPr="00DF0C31">
                    <w:rPr>
                      <w:rFonts w:eastAsia="MS Mincho"/>
                      <w:color w:val="000000"/>
                      <w:sz w:val="20"/>
                      <w:szCs w:val="20"/>
                      <w:lang w:eastAsia="tr-TR"/>
                    </w:rPr>
                    <w:t>R4 033 539.12</w:t>
                  </w:r>
                </w:p>
              </w:tc>
            </w:tr>
          </w:tbl>
          <w:p w:rsidR="001C4D4B" w:rsidRPr="002D7D0A" w:rsidRDefault="001C4D4B" w:rsidP="002D7D0A">
            <w:pPr>
              <w:pStyle w:val="Heading2"/>
              <w:spacing w:before="0"/>
              <w:rPr>
                <w:bCs/>
                <w:sz w:val="20"/>
                <w:szCs w:val="20"/>
              </w:rPr>
            </w:pPr>
          </w:p>
        </w:tc>
        <w:tc>
          <w:tcPr>
            <w:tcW w:w="894" w:type="pct"/>
            <w:tcBorders>
              <w:bottom w:val="single" w:sz="6" w:space="0" w:color="auto"/>
            </w:tcBorders>
          </w:tcPr>
          <w:p w:rsidR="001C4D4B" w:rsidRPr="002D7D0A" w:rsidRDefault="001C4D4B" w:rsidP="002D7D0A">
            <w:pPr>
              <w:pStyle w:val="Heading2"/>
              <w:spacing w:before="0"/>
              <w:rPr>
                <w:bCs/>
                <w:sz w:val="20"/>
                <w:szCs w:val="20"/>
              </w:rPr>
            </w:pPr>
            <w:r w:rsidRPr="002D7D0A">
              <w:rPr>
                <w:bCs/>
                <w:sz w:val="20"/>
                <w:szCs w:val="20"/>
              </w:rPr>
              <w:t>Level 1</w:t>
            </w:r>
          </w:p>
        </w:tc>
        <w:tc>
          <w:tcPr>
            <w:tcW w:w="622" w:type="pct"/>
            <w:tcBorders>
              <w:bottom w:val="single" w:sz="6" w:space="0" w:color="auto"/>
            </w:tcBorders>
          </w:tcPr>
          <w:p w:rsidR="001C4D4B" w:rsidRPr="002D7D0A" w:rsidRDefault="0023150A" w:rsidP="002D7D0A">
            <w:pPr>
              <w:pStyle w:val="Heading2"/>
              <w:spacing w:before="0"/>
              <w:rPr>
                <w:bCs/>
                <w:sz w:val="20"/>
                <w:szCs w:val="20"/>
              </w:rPr>
            </w:pPr>
            <w:r w:rsidRPr="002D7D0A">
              <w:rPr>
                <w:bCs/>
                <w:sz w:val="20"/>
                <w:szCs w:val="20"/>
              </w:rPr>
              <w:t>98</w:t>
            </w:r>
          </w:p>
        </w:tc>
      </w:tr>
      <w:tr w:rsidR="001C4D4B" w:rsidRPr="00DF0C31" w:rsidTr="002D7D0A">
        <w:tc>
          <w:tcPr>
            <w:tcW w:w="1224" w:type="pct"/>
            <w:tcBorders>
              <w:top w:val="single" w:sz="6" w:space="0" w:color="auto"/>
              <w:bottom w:val="single" w:sz="12" w:space="0" w:color="auto"/>
            </w:tcBorders>
          </w:tcPr>
          <w:p w:rsidR="001C4D4B" w:rsidRPr="00DF0C31" w:rsidRDefault="0023150A">
            <w:pPr>
              <w:autoSpaceDE w:val="0"/>
              <w:autoSpaceDN w:val="0"/>
              <w:adjustRightInd w:val="0"/>
              <w:spacing w:before="0"/>
              <w:rPr>
                <w:rFonts w:eastAsia="MS Mincho"/>
                <w:color w:val="000000"/>
                <w:sz w:val="20"/>
                <w:szCs w:val="20"/>
                <w:lang w:eastAsia="tr-TR"/>
              </w:rPr>
            </w:pPr>
            <w:r w:rsidRPr="00DF0C31">
              <w:rPr>
                <w:rFonts w:eastAsia="MS Mincho"/>
                <w:color w:val="000000"/>
                <w:sz w:val="20"/>
                <w:szCs w:val="20"/>
                <w:lang w:eastAsia="tr-TR"/>
              </w:rPr>
              <w:t>PUD20/2016</w:t>
            </w:r>
          </w:p>
          <w:p w:rsidR="0023150A" w:rsidRPr="00DF0C31" w:rsidRDefault="0023150A">
            <w:pPr>
              <w:autoSpaceDE w:val="0"/>
              <w:autoSpaceDN w:val="0"/>
              <w:adjustRightInd w:val="0"/>
              <w:spacing w:before="0"/>
              <w:rPr>
                <w:rFonts w:eastAsia="MS Mincho"/>
                <w:color w:val="000000"/>
                <w:sz w:val="20"/>
                <w:szCs w:val="20"/>
                <w:lang w:eastAsia="tr-TR"/>
              </w:rPr>
            </w:pPr>
            <w:r w:rsidRPr="00DF0C31">
              <w:rPr>
                <w:rFonts w:eastAsia="MS Mincho"/>
                <w:color w:val="000000"/>
                <w:sz w:val="20"/>
                <w:szCs w:val="20"/>
                <w:lang w:eastAsia="tr-TR"/>
              </w:rPr>
              <w:t>Deliver and maintain ICT hardware</w:t>
            </w:r>
          </w:p>
          <w:p w:rsidR="001C4D4B" w:rsidRPr="00DF0C31" w:rsidRDefault="0023150A">
            <w:pPr>
              <w:autoSpaceDE w:val="0"/>
              <w:autoSpaceDN w:val="0"/>
              <w:adjustRightInd w:val="0"/>
              <w:spacing w:before="0"/>
              <w:rPr>
                <w:rFonts w:eastAsia="MS Mincho"/>
                <w:color w:val="000000"/>
                <w:sz w:val="20"/>
                <w:szCs w:val="20"/>
                <w:lang w:eastAsia="tr-TR"/>
              </w:rPr>
            </w:pPr>
            <w:r w:rsidRPr="00DF0C31">
              <w:rPr>
                <w:rFonts w:eastAsia="MS Mincho"/>
                <w:color w:val="000000"/>
                <w:sz w:val="20"/>
                <w:szCs w:val="20"/>
                <w:lang w:eastAsia="tr-TR"/>
              </w:rPr>
              <w:t>Period: 2 years</w:t>
            </w:r>
          </w:p>
        </w:tc>
        <w:tc>
          <w:tcPr>
            <w:tcW w:w="1006" w:type="pct"/>
            <w:tcBorders>
              <w:top w:val="single" w:sz="6" w:space="0" w:color="auto"/>
              <w:bottom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1424"/>
            </w:tblGrid>
            <w:tr w:rsidR="001C4D4B" w:rsidRPr="00DF0C31">
              <w:trPr>
                <w:trHeight w:val="82"/>
              </w:trPr>
              <w:tc>
                <w:tcPr>
                  <w:tcW w:w="0" w:type="auto"/>
                </w:tcPr>
                <w:p w:rsidR="001C4D4B" w:rsidRPr="00DF0C31" w:rsidRDefault="00367CF0">
                  <w:pPr>
                    <w:autoSpaceDE w:val="0"/>
                    <w:autoSpaceDN w:val="0"/>
                    <w:adjustRightInd w:val="0"/>
                    <w:spacing w:before="0"/>
                    <w:rPr>
                      <w:rFonts w:eastAsia="MS Mincho"/>
                      <w:color w:val="000000"/>
                      <w:sz w:val="20"/>
                      <w:szCs w:val="20"/>
                      <w:lang w:eastAsia="tr-TR"/>
                    </w:rPr>
                  </w:pPr>
                  <w:r w:rsidRPr="00DF0C31">
                    <w:rPr>
                      <w:rFonts w:eastAsia="MS Mincho"/>
                      <w:color w:val="000000"/>
                      <w:sz w:val="20"/>
                      <w:szCs w:val="20"/>
                      <w:lang w:eastAsia="tr-TR"/>
                    </w:rPr>
                    <w:t>Vukani Technologies</w:t>
                  </w:r>
                </w:p>
              </w:tc>
            </w:tr>
          </w:tbl>
          <w:p w:rsidR="001C4D4B" w:rsidRPr="002D7D0A" w:rsidRDefault="001C4D4B" w:rsidP="002D7D0A">
            <w:pPr>
              <w:pStyle w:val="Heading2"/>
              <w:spacing w:before="0"/>
              <w:rPr>
                <w:bCs/>
                <w:sz w:val="20"/>
                <w:szCs w:val="20"/>
              </w:rPr>
            </w:pPr>
          </w:p>
        </w:tc>
        <w:tc>
          <w:tcPr>
            <w:tcW w:w="1254" w:type="pct"/>
            <w:tcBorders>
              <w:top w:val="single" w:sz="6" w:space="0" w:color="auto"/>
              <w:bottom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1450"/>
            </w:tblGrid>
            <w:tr w:rsidR="001C4D4B" w:rsidRPr="00DF0C31">
              <w:trPr>
                <w:trHeight w:val="82"/>
              </w:trPr>
              <w:tc>
                <w:tcPr>
                  <w:tcW w:w="0" w:type="auto"/>
                </w:tcPr>
                <w:p w:rsidR="001C4D4B" w:rsidRPr="00DF0C31" w:rsidRDefault="001C4D4B">
                  <w:pPr>
                    <w:autoSpaceDE w:val="0"/>
                    <w:autoSpaceDN w:val="0"/>
                    <w:adjustRightInd w:val="0"/>
                    <w:spacing w:before="0"/>
                    <w:rPr>
                      <w:rFonts w:eastAsia="MS Mincho"/>
                      <w:color w:val="000000"/>
                      <w:sz w:val="20"/>
                      <w:szCs w:val="20"/>
                      <w:lang w:eastAsia="tr-TR"/>
                    </w:rPr>
                  </w:pPr>
                  <w:r w:rsidRPr="00DF0C31">
                    <w:rPr>
                      <w:rFonts w:eastAsia="MS Mincho"/>
                      <w:color w:val="000000"/>
                      <w:sz w:val="20"/>
                      <w:szCs w:val="20"/>
                      <w:lang w:eastAsia="tr-TR"/>
                    </w:rPr>
                    <w:t xml:space="preserve"> R4 373 573.50</w:t>
                  </w:r>
                </w:p>
              </w:tc>
            </w:tr>
          </w:tbl>
          <w:p w:rsidR="001C4D4B" w:rsidRPr="002D7D0A" w:rsidRDefault="001C4D4B" w:rsidP="002D7D0A">
            <w:pPr>
              <w:pStyle w:val="Heading2"/>
              <w:spacing w:before="0"/>
              <w:rPr>
                <w:bCs/>
                <w:sz w:val="20"/>
                <w:szCs w:val="20"/>
              </w:rPr>
            </w:pPr>
          </w:p>
        </w:tc>
        <w:tc>
          <w:tcPr>
            <w:tcW w:w="894" w:type="pct"/>
            <w:tcBorders>
              <w:top w:val="single" w:sz="6" w:space="0" w:color="auto"/>
              <w:bottom w:val="single" w:sz="12" w:space="0" w:color="auto"/>
            </w:tcBorders>
          </w:tcPr>
          <w:p w:rsidR="001C4D4B" w:rsidRPr="002D7D0A" w:rsidRDefault="001C4D4B" w:rsidP="002D7D0A">
            <w:pPr>
              <w:pStyle w:val="Heading2"/>
              <w:spacing w:before="0"/>
              <w:rPr>
                <w:bCs/>
                <w:sz w:val="20"/>
                <w:szCs w:val="20"/>
              </w:rPr>
            </w:pPr>
            <w:r w:rsidRPr="002D7D0A">
              <w:rPr>
                <w:bCs/>
                <w:sz w:val="20"/>
                <w:szCs w:val="20"/>
              </w:rPr>
              <w:t>Level 1</w:t>
            </w:r>
          </w:p>
        </w:tc>
        <w:tc>
          <w:tcPr>
            <w:tcW w:w="622" w:type="pct"/>
            <w:tcBorders>
              <w:top w:val="single" w:sz="6" w:space="0" w:color="auto"/>
              <w:bottom w:val="single" w:sz="12" w:space="0" w:color="auto"/>
            </w:tcBorders>
          </w:tcPr>
          <w:p w:rsidR="001C4D4B" w:rsidRPr="002D7D0A" w:rsidRDefault="0023150A" w:rsidP="002D7D0A">
            <w:pPr>
              <w:pStyle w:val="Heading2"/>
              <w:spacing w:before="0"/>
              <w:rPr>
                <w:bCs/>
                <w:sz w:val="20"/>
                <w:szCs w:val="20"/>
              </w:rPr>
            </w:pPr>
            <w:r w:rsidRPr="002D7D0A">
              <w:rPr>
                <w:bCs/>
                <w:sz w:val="20"/>
                <w:szCs w:val="20"/>
              </w:rPr>
              <w:t>95</w:t>
            </w:r>
          </w:p>
        </w:tc>
      </w:tr>
    </w:tbl>
    <w:p w:rsidR="00A5518F" w:rsidRPr="00AE7AF1" w:rsidRDefault="00773CB0" w:rsidP="002D7D0A">
      <w:pPr>
        <w:pStyle w:val="Heading2"/>
        <w:spacing w:before="0" w:after="120"/>
        <w:rPr>
          <w:bCs/>
          <w:sz w:val="20"/>
          <w:szCs w:val="20"/>
        </w:rPr>
      </w:pPr>
      <w:r w:rsidRPr="002D7D0A">
        <w:rPr>
          <w:bCs/>
          <w:sz w:val="20"/>
          <w:szCs w:val="20"/>
        </w:rPr>
        <w:t xml:space="preserve">Source: </w:t>
      </w:r>
      <w:r w:rsidR="00367CF0">
        <w:rPr>
          <w:bCs/>
          <w:sz w:val="20"/>
          <w:szCs w:val="20"/>
        </w:rPr>
        <w:t>A</w:t>
      </w:r>
      <w:r w:rsidRPr="002D7D0A">
        <w:rPr>
          <w:bCs/>
          <w:sz w:val="20"/>
          <w:szCs w:val="20"/>
        </w:rPr>
        <w:t>dapted from C</w:t>
      </w:r>
      <w:r w:rsidR="00700EE6">
        <w:rPr>
          <w:bCs/>
          <w:sz w:val="20"/>
          <w:szCs w:val="20"/>
        </w:rPr>
        <w:t>o</w:t>
      </w:r>
      <w:r w:rsidRPr="002D7D0A">
        <w:rPr>
          <w:bCs/>
          <w:sz w:val="20"/>
          <w:szCs w:val="20"/>
        </w:rPr>
        <w:t>J bids awarded 2017</w:t>
      </w:r>
      <w:r w:rsidR="00132CB0">
        <w:rPr>
          <w:bCs/>
          <w:sz w:val="20"/>
          <w:szCs w:val="20"/>
        </w:rPr>
        <w:t xml:space="preserve"> </w:t>
      </w:r>
      <w:r w:rsidR="00C03C14" w:rsidRPr="00AE7AF1">
        <w:rPr>
          <w:bCs/>
          <w:sz w:val="20"/>
          <w:szCs w:val="20"/>
        </w:rPr>
        <w:t>CoJ website</w:t>
      </w:r>
    </w:p>
    <w:p w:rsidR="00052CC0" w:rsidRPr="002D7D0A" w:rsidRDefault="00440D93" w:rsidP="002D7D0A">
      <w:r w:rsidRPr="002D7D0A">
        <w:t>Table 2 confirms that scrutiny is done on a</w:t>
      </w:r>
      <w:r w:rsidR="00BE7F42" w:rsidRPr="002D7D0A">
        <w:t xml:space="preserve">pplying firms for </w:t>
      </w:r>
      <w:r w:rsidR="00B15DEB">
        <w:t>BB</w:t>
      </w:r>
      <w:r w:rsidR="00BE7F42" w:rsidRPr="002D7D0A">
        <w:t>BEE credentials</w:t>
      </w:r>
      <w:r w:rsidR="00367CF0">
        <w:t>,</w:t>
      </w:r>
      <w:r w:rsidR="00BE7F42" w:rsidRPr="002D7D0A">
        <w:t xml:space="preserve"> </w:t>
      </w:r>
      <w:r w:rsidR="00367CF0">
        <w:t>as well as on</w:t>
      </w:r>
      <w:r w:rsidR="00BE7F42" w:rsidRPr="002D7D0A">
        <w:t xml:space="preserve"> large firms for partnering small firms with </w:t>
      </w:r>
      <w:r w:rsidR="00B15DEB">
        <w:t>BB</w:t>
      </w:r>
      <w:r w:rsidR="00BE7F42" w:rsidRPr="002D7D0A">
        <w:t>BEE status</w:t>
      </w:r>
      <w:r w:rsidR="00052CC0" w:rsidRPr="002D7D0A">
        <w:t xml:space="preserve"> to provide </w:t>
      </w:r>
      <w:r w:rsidR="00367CF0">
        <w:t xml:space="preserve">the </w:t>
      </w:r>
      <w:r w:rsidR="00052CC0" w:rsidRPr="002D7D0A">
        <w:t>opportunity for the smaller firms to participate in the larger contracts (</w:t>
      </w:r>
      <w:r w:rsidR="00700EE6">
        <w:t>CoJ</w:t>
      </w:r>
      <w:r w:rsidR="00052CC0" w:rsidRPr="002D7D0A">
        <w:t xml:space="preserve">, </w:t>
      </w:r>
      <w:r w:rsidR="00367CF0">
        <w:t>n.d.</w:t>
      </w:r>
      <w:r w:rsidR="00052CC0" w:rsidRPr="002D7D0A">
        <w:t>a</w:t>
      </w:r>
      <w:r w:rsidR="00367CF0">
        <w:t>;</w:t>
      </w:r>
      <w:r w:rsidR="00052CC0" w:rsidRPr="002D7D0A">
        <w:t xml:space="preserve"> </w:t>
      </w:r>
      <w:r w:rsidR="00367CF0">
        <w:t>n.d.</w:t>
      </w:r>
      <w:r w:rsidR="00052CC0" w:rsidRPr="002D7D0A">
        <w:t>b)</w:t>
      </w:r>
      <w:r w:rsidR="00BE7F42" w:rsidRPr="002D7D0A">
        <w:t xml:space="preserve">. </w:t>
      </w:r>
      <w:r w:rsidR="00052CC0" w:rsidRPr="002D7D0A">
        <w:t xml:space="preserve">Although </w:t>
      </w:r>
      <w:r w:rsidR="00367CF0">
        <w:t xml:space="preserve">it is </w:t>
      </w:r>
      <w:r w:rsidR="00052CC0" w:rsidRPr="002D7D0A">
        <w:t xml:space="preserve">by implication that </w:t>
      </w:r>
      <w:r w:rsidR="00975FCF">
        <w:t>women-owned</w:t>
      </w:r>
      <w:r w:rsidR="00975FCF" w:rsidRPr="002D7D0A">
        <w:t xml:space="preserve"> </w:t>
      </w:r>
      <w:r w:rsidR="00052CC0" w:rsidRPr="002D7D0A">
        <w:t xml:space="preserve">firms are to be awarded </w:t>
      </w:r>
      <w:r w:rsidR="00367CF0">
        <w:t xml:space="preserve">the </w:t>
      </w:r>
      <w:r w:rsidR="00052CC0" w:rsidRPr="002D7D0A">
        <w:t xml:space="preserve">highest </w:t>
      </w:r>
      <w:r w:rsidR="00B15DEB">
        <w:t>BB</w:t>
      </w:r>
      <w:r w:rsidR="00052CC0" w:rsidRPr="002D7D0A">
        <w:t>BEE credentials, their response in bidding for the city’s large tenders is not captured at this stage.</w:t>
      </w:r>
      <w:r w:rsidR="00EC05C3" w:rsidRPr="002D7D0A">
        <w:t xml:space="preserve"> This is a lost opportunity for capturing gender</w:t>
      </w:r>
      <w:r w:rsidR="00367CF0">
        <w:t>-</w:t>
      </w:r>
      <w:r w:rsidR="00EC05C3" w:rsidRPr="002D7D0A">
        <w:t>disaggregated data at the commencement of the procurement process.</w:t>
      </w:r>
      <w:r w:rsidR="00052CC0" w:rsidRPr="002D7D0A">
        <w:t xml:space="preserve"> </w:t>
      </w:r>
      <w:r w:rsidR="008F788D" w:rsidRPr="002D7D0A">
        <w:t xml:space="preserve"> </w:t>
      </w:r>
    </w:p>
    <w:p w:rsidR="001367A8" w:rsidRPr="002D7D0A" w:rsidRDefault="001367A8" w:rsidP="009351EC">
      <w:pPr>
        <w:pStyle w:val="Heading2"/>
        <w:rPr>
          <w:b/>
          <w:bCs/>
        </w:rPr>
      </w:pPr>
      <w:r w:rsidRPr="002D7D0A">
        <w:rPr>
          <w:b/>
          <w:bCs/>
        </w:rPr>
        <w:t>2.</w:t>
      </w:r>
      <w:r w:rsidR="003601A2">
        <w:rPr>
          <w:b/>
          <w:bCs/>
        </w:rPr>
        <w:t>3</w:t>
      </w:r>
      <w:r w:rsidR="00975FCF">
        <w:rPr>
          <w:b/>
          <w:bCs/>
        </w:rPr>
        <w:t>.</w:t>
      </w:r>
      <w:r w:rsidRPr="002D7D0A">
        <w:rPr>
          <w:b/>
          <w:bCs/>
        </w:rPr>
        <w:t xml:space="preserve"> </w:t>
      </w:r>
      <w:r w:rsidR="00C527C3">
        <w:rPr>
          <w:b/>
          <w:bCs/>
        </w:rPr>
        <w:t>The CJMM</w:t>
      </w:r>
      <w:r w:rsidR="00C527C3" w:rsidRPr="002D7D0A">
        <w:rPr>
          <w:b/>
          <w:bCs/>
        </w:rPr>
        <w:t xml:space="preserve">’s </w:t>
      </w:r>
      <w:r w:rsidR="00975FCF" w:rsidRPr="00DF0C31">
        <w:rPr>
          <w:b/>
          <w:bCs/>
        </w:rPr>
        <w:t>gender p</w:t>
      </w:r>
      <w:r w:rsidR="00D436E4" w:rsidRPr="002D7D0A">
        <w:rPr>
          <w:b/>
          <w:bCs/>
        </w:rPr>
        <w:t>olicy</w:t>
      </w:r>
    </w:p>
    <w:p w:rsidR="002315F3" w:rsidRDefault="00321A88" w:rsidP="002D7D0A">
      <w:r w:rsidRPr="002D7D0A">
        <w:t xml:space="preserve">As a </w:t>
      </w:r>
      <w:r w:rsidR="00CD3558" w:rsidRPr="002D7D0A">
        <w:t>metropolitan</w:t>
      </w:r>
      <w:r w:rsidRPr="002D7D0A">
        <w:t xml:space="preserve"> municipality </w:t>
      </w:r>
      <w:r w:rsidR="003430DE" w:rsidRPr="002D7D0A">
        <w:t xml:space="preserve">that complies with the country’s ratification and adoption of </w:t>
      </w:r>
      <w:r w:rsidR="00CD3558" w:rsidRPr="002D7D0A">
        <w:t>international</w:t>
      </w:r>
      <w:r w:rsidR="003430DE" w:rsidRPr="002D7D0A">
        <w:t>, regional</w:t>
      </w:r>
      <w:r w:rsidR="00367CF0">
        <w:rPr>
          <w:b/>
        </w:rPr>
        <w:t>,</w:t>
      </w:r>
      <w:r w:rsidR="003430DE" w:rsidRPr="002D7D0A">
        <w:t xml:space="preserve"> and state instruments for the promotion of gender </w:t>
      </w:r>
      <w:r w:rsidR="00CD3558" w:rsidRPr="002D7D0A">
        <w:t>equality</w:t>
      </w:r>
      <w:r w:rsidR="003430DE" w:rsidRPr="002D7D0A">
        <w:t>, Johannesburg has adopted a g</w:t>
      </w:r>
      <w:r w:rsidR="007F7917" w:rsidRPr="002D7D0A">
        <w:t>ender policy (</w:t>
      </w:r>
      <w:r w:rsidR="00700EE6">
        <w:t>CoJ</w:t>
      </w:r>
      <w:r w:rsidR="003430DE" w:rsidRPr="002D7D0A">
        <w:t>, 2013).</w:t>
      </w:r>
      <w:r w:rsidR="00FB6B2F" w:rsidRPr="002D7D0A">
        <w:t xml:space="preserve"> The gender policy is useful as a</w:t>
      </w:r>
      <w:r w:rsidR="00CD3558" w:rsidRPr="002D7D0A">
        <w:t xml:space="preserve"> self-checking tool for the city’s internal and external processes.</w:t>
      </w:r>
      <w:r w:rsidR="007F7917" w:rsidRPr="002D7D0A">
        <w:t xml:space="preserve"> Th</w:t>
      </w:r>
      <w:r w:rsidR="00FB6B2F" w:rsidRPr="002D7D0A">
        <w:t>is</w:t>
      </w:r>
      <w:r w:rsidR="007F7917" w:rsidRPr="002D7D0A">
        <w:t xml:space="preserve"> policy identifies seven </w:t>
      </w:r>
      <w:r w:rsidR="005F4868">
        <w:t xml:space="preserve">essential </w:t>
      </w:r>
      <w:r w:rsidR="007F7917" w:rsidRPr="002D7D0A">
        <w:t>areas of gender mainstreaming</w:t>
      </w:r>
      <w:r w:rsidR="00367CF0">
        <w:rPr>
          <w:b/>
        </w:rPr>
        <w:t>,</w:t>
      </w:r>
      <w:r w:rsidR="007F7917" w:rsidRPr="002D7D0A">
        <w:t xml:space="preserve"> which include policy and planning; basic service delivery</w:t>
      </w:r>
      <w:r w:rsidR="00367CF0">
        <w:rPr>
          <w:b/>
        </w:rPr>
        <w:t>,</w:t>
      </w:r>
      <w:r w:rsidR="007F7917" w:rsidRPr="002D7D0A">
        <w:t xml:space="preserve"> which encompasses job creation and access to municipal services; and LED and economic empowerment</w:t>
      </w:r>
      <w:r w:rsidR="00F96B4A" w:rsidRPr="002D7D0A">
        <w:t xml:space="preserve"> (</w:t>
      </w:r>
      <w:r w:rsidR="00700EE6">
        <w:t>CoJ</w:t>
      </w:r>
      <w:r w:rsidR="00F96B4A" w:rsidRPr="002D7D0A">
        <w:t>, 2013)</w:t>
      </w:r>
      <w:r w:rsidR="007F7917" w:rsidRPr="002D7D0A">
        <w:t xml:space="preserve">. </w:t>
      </w:r>
      <w:r w:rsidR="00CD3558" w:rsidRPr="002D7D0A">
        <w:t>The participation of women-owned businesses can be</w:t>
      </w:r>
      <w:r w:rsidR="007F7917" w:rsidRPr="002D7D0A">
        <w:t xml:space="preserve"> enhanced through municipal tendering and procurement</w:t>
      </w:r>
      <w:r w:rsidR="002315F3">
        <w:t xml:space="preserve"> with the assistance of gender </w:t>
      </w:r>
      <w:r w:rsidR="002315F3">
        <w:lastRenderedPageBreak/>
        <w:t>mainstreaming techniques incorporated into</w:t>
      </w:r>
      <w:r w:rsidR="009D1026">
        <w:t xml:space="preserve"> procurement</w:t>
      </w:r>
      <w:r w:rsidR="007F7917" w:rsidRPr="002D7D0A">
        <w:t>.</w:t>
      </w:r>
      <w:r w:rsidR="009D1026">
        <w:t xml:space="preserve"> Evidence can be found in the gender policy.</w:t>
      </w:r>
      <w:r w:rsidR="007F7917" w:rsidRPr="002D7D0A">
        <w:t xml:space="preserve"> </w:t>
      </w:r>
    </w:p>
    <w:p w:rsidR="001763D1" w:rsidRDefault="007F7917" w:rsidP="009D1026">
      <w:r w:rsidRPr="002D7D0A">
        <w:t xml:space="preserve">The </w:t>
      </w:r>
      <w:r w:rsidR="000F2CEA" w:rsidRPr="002D7D0A">
        <w:t>gender policy</w:t>
      </w:r>
      <w:r w:rsidR="006519D2">
        <w:t xml:space="preserve"> also</w:t>
      </w:r>
      <w:r w:rsidR="000F2CEA" w:rsidRPr="002D7D0A">
        <w:t xml:space="preserve"> provides specific guiding strategies to mainstream gender into its municipal purchasing</w:t>
      </w:r>
      <w:r w:rsidR="00367CF0">
        <w:rPr>
          <w:b/>
        </w:rPr>
        <w:t>,</w:t>
      </w:r>
      <w:r w:rsidRPr="002D7D0A">
        <w:t xml:space="preserve"> which are:</w:t>
      </w:r>
      <w:r w:rsidR="009D1026">
        <w:t xml:space="preserve"> </w:t>
      </w:r>
      <w:r w:rsidR="000F2CEA" w:rsidRPr="002D7D0A">
        <w:t>ensur</w:t>
      </w:r>
      <w:r w:rsidR="00367CF0">
        <w:t>ing</w:t>
      </w:r>
      <w:r w:rsidR="000F2CEA" w:rsidRPr="002D7D0A">
        <w:t xml:space="preserve"> that 25% of all procurement contracts in non-traditional areas are granted to women and youth</w:t>
      </w:r>
      <w:r w:rsidR="00C527C3">
        <w:t>s</w:t>
      </w:r>
      <w:r w:rsidR="009D1026">
        <w:t xml:space="preserve"> which can be checked throughout the contracting process in SCM</w:t>
      </w:r>
      <w:r w:rsidR="000F2CEA" w:rsidRPr="002D7D0A">
        <w:t>;</w:t>
      </w:r>
      <w:r w:rsidR="009D1026">
        <w:t xml:space="preserve"> </w:t>
      </w:r>
      <w:r w:rsidR="000F2CEA" w:rsidRPr="002D7D0A">
        <w:t>develop</w:t>
      </w:r>
      <w:r w:rsidR="00367CF0">
        <w:t>ing</w:t>
      </w:r>
      <w:r w:rsidR="000F2CEA" w:rsidRPr="002D7D0A">
        <w:t xml:space="preserve"> systems and mechanisms to identify women involved in the informal economy and </w:t>
      </w:r>
      <w:r w:rsidR="00975FCF">
        <w:t>small, medium, and micro-sized enterprise (</w:t>
      </w:r>
      <w:r w:rsidR="000F2CEA" w:rsidRPr="002D7D0A">
        <w:t>SMME</w:t>
      </w:r>
      <w:r w:rsidR="00975FCF">
        <w:t>)</w:t>
      </w:r>
      <w:r w:rsidR="000F2CEA" w:rsidRPr="002D7D0A">
        <w:t xml:space="preserve"> level;</w:t>
      </w:r>
      <w:r w:rsidR="009D1026">
        <w:t xml:space="preserve"> </w:t>
      </w:r>
      <w:r w:rsidR="000F2CEA" w:rsidRPr="002D7D0A">
        <w:t>creat</w:t>
      </w:r>
      <w:r w:rsidR="00367CF0">
        <w:t>ing</w:t>
      </w:r>
      <w:r w:rsidR="000F2CEA" w:rsidRPr="002D7D0A">
        <w:t xml:space="preserve"> a data registration</w:t>
      </w:r>
      <w:r w:rsidR="00367CF0">
        <w:t xml:space="preserve"> </w:t>
      </w:r>
      <w:r w:rsidR="00C03C14" w:rsidRPr="00AE7AF1">
        <w:t>database</w:t>
      </w:r>
      <w:r w:rsidR="000F2CEA" w:rsidRPr="00AE7AF1">
        <w:t xml:space="preserve"> f</w:t>
      </w:r>
      <w:r w:rsidR="000F2CEA" w:rsidRPr="002D7D0A">
        <w:t>or SMMEs and traders in the informal sector</w:t>
      </w:r>
      <w:r w:rsidR="009D1026">
        <w:t xml:space="preserve"> where emphasis on emerging women owned businesses is highlighted</w:t>
      </w:r>
      <w:r w:rsidR="000F2CEA" w:rsidRPr="002D7D0A">
        <w:t>;</w:t>
      </w:r>
      <w:r w:rsidR="009D1026">
        <w:t xml:space="preserve"> </w:t>
      </w:r>
      <w:r w:rsidR="000F2CEA" w:rsidRPr="002D7D0A">
        <w:t>put</w:t>
      </w:r>
      <w:r w:rsidR="00367CF0">
        <w:t>ting</w:t>
      </w:r>
      <w:r w:rsidR="000F2CEA" w:rsidRPr="002D7D0A">
        <w:t xml:space="preserve"> in place a programme to capacitate women who run SMMEs and enable successful tenders for city projects; strengthen</w:t>
      </w:r>
      <w:r w:rsidR="00367CF0">
        <w:t>ing</w:t>
      </w:r>
      <w:r w:rsidR="000F2CEA" w:rsidRPr="002D7D0A">
        <w:t xml:space="preserve"> links with entrepreneurial institutions to benefit </w:t>
      </w:r>
      <w:r w:rsidR="00975FCF">
        <w:t>female</w:t>
      </w:r>
      <w:r w:rsidR="00975FCF" w:rsidRPr="002D7D0A">
        <w:t xml:space="preserve"> </w:t>
      </w:r>
      <w:r w:rsidR="000F2CEA" w:rsidRPr="002D7D0A">
        <w:t>entrepreneurs; mak</w:t>
      </w:r>
      <w:r w:rsidR="00367CF0">
        <w:t>ing</w:t>
      </w:r>
      <w:r w:rsidR="000F2CEA" w:rsidRPr="002D7D0A">
        <w:t xml:space="preserve"> funding </w:t>
      </w:r>
      <w:r w:rsidR="00975FCF" w:rsidRPr="00F62A7B">
        <w:t xml:space="preserve">available </w:t>
      </w:r>
      <w:r w:rsidR="000F2CEA" w:rsidRPr="002D7D0A">
        <w:t xml:space="preserve">for </w:t>
      </w:r>
      <w:r w:rsidR="00975FCF">
        <w:t>female</w:t>
      </w:r>
      <w:r w:rsidR="00975FCF" w:rsidRPr="002D7D0A">
        <w:t xml:space="preserve"> </w:t>
      </w:r>
      <w:r w:rsidR="000F2CEA" w:rsidRPr="002D7D0A">
        <w:t>entrepreneurs through a community development bank to improve their capacity to deliver on tenders; develop</w:t>
      </w:r>
      <w:r w:rsidR="00367CF0">
        <w:t>ing</w:t>
      </w:r>
      <w:r w:rsidR="000F2CEA" w:rsidRPr="002D7D0A">
        <w:t xml:space="preserve"> a programme for women in the informal sector to enable them to participate in the mainstream economy; review</w:t>
      </w:r>
      <w:r w:rsidR="00367CF0">
        <w:t>ing</w:t>
      </w:r>
      <w:r w:rsidR="000F2CEA" w:rsidRPr="002D7D0A">
        <w:t xml:space="preserve"> the procedures of the payment system specifically for SMME</w:t>
      </w:r>
      <w:r w:rsidR="00C527C3">
        <w:t>s</w:t>
      </w:r>
      <w:r w:rsidR="000F2CEA" w:rsidRPr="002D7D0A">
        <w:t xml:space="preserve"> because current procedures disempower women; disaggregat</w:t>
      </w:r>
      <w:r w:rsidR="00367CF0">
        <w:t>ing</w:t>
      </w:r>
      <w:r w:rsidR="000F2CEA" w:rsidRPr="002D7D0A">
        <w:t xml:space="preserve"> data on </w:t>
      </w:r>
      <w:r w:rsidR="000F2CEA" w:rsidRPr="006E5B1B">
        <w:t xml:space="preserve">the </w:t>
      </w:r>
      <w:r w:rsidR="000F2CEA" w:rsidRPr="006E5B1B">
        <w:rPr>
          <w:rStyle w:val="Emphasis"/>
          <w:b w:val="0"/>
        </w:rPr>
        <w:t>Expanded Public Works Programme</w:t>
      </w:r>
      <w:r w:rsidR="000F2CEA" w:rsidRPr="006E5B1B">
        <w:rPr>
          <w:rStyle w:val="st1"/>
        </w:rPr>
        <w:t xml:space="preserve"> (</w:t>
      </w:r>
      <w:r w:rsidR="000F2CEA" w:rsidRPr="006E5B1B">
        <w:t>EPWP); monitor</w:t>
      </w:r>
      <w:r w:rsidR="00367CF0" w:rsidRPr="006E5B1B">
        <w:t>ing</w:t>
      </w:r>
      <w:r w:rsidR="000F2CEA" w:rsidRPr="006E5B1B">
        <w:t xml:space="preserve"> procurement trends and patterns in the city with</w:t>
      </w:r>
      <w:r w:rsidR="000F2CEA" w:rsidRPr="002D7D0A">
        <w:t xml:space="preserve"> a focus on gender; develop</w:t>
      </w:r>
      <w:r w:rsidR="00367CF0">
        <w:t>ing</w:t>
      </w:r>
      <w:r w:rsidR="000F2CEA" w:rsidRPr="002D7D0A">
        <w:t xml:space="preserve"> a strategy for women’s access to credit and capital</w:t>
      </w:r>
      <w:r w:rsidR="009D1026">
        <w:t xml:space="preserve"> which is important to maintaining sustainable cash flow in the companies for the long term</w:t>
      </w:r>
      <w:r w:rsidR="000F2CEA" w:rsidRPr="002D7D0A">
        <w:t>;</w:t>
      </w:r>
      <w:r w:rsidR="009D1026">
        <w:t xml:space="preserve"> </w:t>
      </w:r>
      <w:r w:rsidR="000F2CEA" w:rsidRPr="002D7D0A">
        <w:t>review</w:t>
      </w:r>
      <w:r w:rsidR="00367CF0">
        <w:t>ing</w:t>
      </w:r>
      <w:r w:rsidR="000F2CEA" w:rsidRPr="002D7D0A">
        <w:t xml:space="preserve"> (with the goal to increase) the tender point system for the women’s category; and ensur</w:t>
      </w:r>
      <w:r w:rsidR="00367CF0">
        <w:t>ing</w:t>
      </w:r>
      <w:r w:rsidR="000F2CEA" w:rsidRPr="002D7D0A">
        <w:t xml:space="preserve"> that there is regular reporting on the awarding of contracts to </w:t>
      </w:r>
      <w:r w:rsidR="00975FCF">
        <w:t>female</w:t>
      </w:r>
      <w:r w:rsidR="00975FCF" w:rsidRPr="002D7D0A">
        <w:t xml:space="preserve"> </w:t>
      </w:r>
      <w:r w:rsidR="000F2CEA" w:rsidRPr="002D7D0A">
        <w:t>business owners and suppliers of services (</w:t>
      </w:r>
      <w:r w:rsidR="006763FB" w:rsidRPr="006763FB">
        <w:t>CoJ</w:t>
      </w:r>
      <w:r w:rsidR="000F2CEA" w:rsidRPr="002D7D0A">
        <w:t>, 2013:19).</w:t>
      </w:r>
      <w:r w:rsidR="009D1026">
        <w:t xml:space="preserve"> </w:t>
      </w:r>
    </w:p>
    <w:p w:rsidR="000F2CEA" w:rsidRDefault="009D1026" w:rsidP="009D1026">
      <w:r w:rsidRPr="002D7D0A">
        <w:t xml:space="preserve">The strategies listed above call for the </w:t>
      </w:r>
      <w:r w:rsidRPr="006763FB">
        <w:t>CJMM</w:t>
      </w:r>
      <w:r w:rsidRPr="002D7D0A">
        <w:t xml:space="preserve"> to interrogate each stage of its procurement municipal process with the intention of gender mainstreaming.</w:t>
      </w:r>
      <w:r>
        <w:t xml:space="preserve"> </w:t>
      </w:r>
      <w:r w:rsidR="001763D1">
        <w:t>The first strategy of checking whether 25% of all contracts are awarded to women entrepreneurs should be included in the SCM reporting requirement will in turn give effect to the final strategy on the gendered tender point system. These strategies can only be effective when the city’s SCM can implement gendered procurement.</w:t>
      </w:r>
    </w:p>
    <w:p w:rsidR="00AA5CE5" w:rsidRDefault="00AA5CE5" w:rsidP="009D1026"/>
    <w:p w:rsidR="009C5833" w:rsidRPr="002D7D0A" w:rsidRDefault="009C5833" w:rsidP="002D7D0A">
      <w:pPr>
        <w:pStyle w:val="Heading1"/>
        <w:ind w:left="284" w:hanging="284"/>
      </w:pPr>
      <w:r w:rsidRPr="002D7D0A">
        <w:t xml:space="preserve">3. </w:t>
      </w:r>
      <w:r w:rsidR="00975FCF" w:rsidRPr="006763FB">
        <w:tab/>
      </w:r>
      <w:r w:rsidRPr="002D7D0A">
        <w:t xml:space="preserve">GENDERED IMPLICATIONS FOR </w:t>
      </w:r>
      <w:r w:rsidR="00C527C3" w:rsidRPr="006763FB">
        <w:t>THE CJMM</w:t>
      </w:r>
      <w:r w:rsidR="00C527C3" w:rsidRPr="002D7D0A">
        <w:t xml:space="preserve">’S </w:t>
      </w:r>
      <w:r w:rsidRPr="002D7D0A">
        <w:t>PROCUREMENT</w:t>
      </w:r>
    </w:p>
    <w:p w:rsidR="00DC6357" w:rsidRPr="002D7D0A" w:rsidRDefault="009D1026" w:rsidP="002D7D0A">
      <w:pPr>
        <w:spacing w:after="120"/>
        <w:rPr>
          <w:b/>
        </w:rPr>
      </w:pPr>
      <w:r>
        <w:t xml:space="preserve">The CJMM has a national and municipal framework to promote gender equality in its procurement. More importantly the strategies given earlier implies that there should be deliberate gender mainstreaming within SCM that will increase the </w:t>
      </w:r>
      <w:r>
        <w:lastRenderedPageBreak/>
        <w:t xml:space="preserve">numbers of women-owned businesses </w:t>
      </w:r>
      <w:r w:rsidR="006E5B1B">
        <w:t xml:space="preserve">participating and benefiting from </w:t>
      </w:r>
      <w:r>
        <w:t xml:space="preserve">procurement. To check whether indeed </w:t>
      </w:r>
      <w:r w:rsidR="006E5B1B">
        <w:t xml:space="preserve">that </w:t>
      </w:r>
      <w:r>
        <w:t>the strategies are being u</w:t>
      </w:r>
      <w:r w:rsidR="006E5B1B">
        <w:t>tilised,</w:t>
      </w:r>
      <w:r>
        <w:t xml:space="preserve"> aspects of the city’s procurement are compared against the international standard of strategic </w:t>
      </w:r>
      <w:r w:rsidR="006E5B1B">
        <w:t>sourcing</w:t>
      </w:r>
      <w:r>
        <w:t xml:space="preserve"> (Chin, 2017) </w:t>
      </w:r>
      <w:r w:rsidR="00B66080" w:rsidRPr="002D7D0A">
        <w:t>Strategic</w:t>
      </w:r>
      <w:r w:rsidR="009C5833" w:rsidRPr="002D7D0A">
        <w:t xml:space="preserve"> sourcing</w:t>
      </w:r>
      <w:r w:rsidR="00B66080" w:rsidRPr="002D7D0A">
        <w:t xml:space="preserve"> is proposed as a viable option that will facilitate the entry and participation of women-owned businesses in </w:t>
      </w:r>
      <w:r w:rsidR="00700EE6">
        <w:t xml:space="preserve">the </w:t>
      </w:r>
      <w:r w:rsidR="00B66080" w:rsidRPr="002D7D0A">
        <w:t>procurement of large conglomerates</w:t>
      </w:r>
      <w:r w:rsidR="00367CF0" w:rsidRPr="006763FB">
        <w:t>,</w:t>
      </w:r>
      <w:r w:rsidR="00B66080" w:rsidRPr="002D7D0A">
        <w:t xml:space="preserve"> which can be achieved through increasing access to information and social networks</w:t>
      </w:r>
      <w:r w:rsidR="00367CF0">
        <w:rPr>
          <w:b/>
        </w:rPr>
        <w:t>,</w:t>
      </w:r>
      <w:r w:rsidR="00B66080" w:rsidRPr="002D7D0A">
        <w:t xml:space="preserve"> streamlining the contracting process</w:t>
      </w:r>
      <w:r w:rsidR="00367CF0">
        <w:rPr>
          <w:b/>
        </w:rPr>
        <w:t>,</w:t>
      </w:r>
      <w:r w:rsidR="00B66080" w:rsidRPr="002D7D0A">
        <w:t xml:space="preserve"> limiting contract sizes</w:t>
      </w:r>
      <w:r w:rsidR="00367CF0">
        <w:rPr>
          <w:b/>
        </w:rPr>
        <w:t>,</w:t>
      </w:r>
      <w:r w:rsidR="00B66080" w:rsidRPr="002D7D0A">
        <w:t xml:space="preserve"> establishing appropriate award criteria</w:t>
      </w:r>
      <w:r w:rsidR="00367CF0" w:rsidRPr="006763FB">
        <w:t>,</w:t>
      </w:r>
      <w:r w:rsidR="00B66080" w:rsidRPr="002D7D0A">
        <w:t xml:space="preserve"> providing feedback</w:t>
      </w:r>
      <w:r w:rsidR="00367CF0" w:rsidRPr="006763FB">
        <w:t>,</w:t>
      </w:r>
      <w:r w:rsidR="00B66080" w:rsidRPr="002D7D0A">
        <w:t xml:space="preserve"> and paying </w:t>
      </w:r>
      <w:r w:rsidR="009351EC" w:rsidRPr="002D7D0A">
        <w:t>promptly (</w:t>
      </w:r>
      <w:r w:rsidR="00B66080" w:rsidRPr="002D7D0A">
        <w:t xml:space="preserve">Chin, 2017:48). </w:t>
      </w:r>
      <w:r w:rsidR="009C5833" w:rsidRPr="002D7D0A">
        <w:t xml:space="preserve"> </w:t>
      </w:r>
    </w:p>
    <w:p w:rsidR="00EB2964" w:rsidRPr="002D7D0A" w:rsidRDefault="00577BD2" w:rsidP="00EB2964">
      <w:pPr>
        <w:contextualSpacing/>
      </w:pPr>
      <w:r w:rsidRPr="002D7D0A">
        <w:t>T</w:t>
      </w:r>
      <w:r w:rsidR="005B4FDE" w:rsidRPr="002D7D0A">
        <w:t xml:space="preserve">wo of the above </w:t>
      </w:r>
      <w:r w:rsidR="00DC6357" w:rsidRPr="002D7D0A">
        <w:t xml:space="preserve">criteria are </w:t>
      </w:r>
      <w:r w:rsidR="005B4FDE" w:rsidRPr="002D7D0A">
        <w:t xml:space="preserve">selected to discuss the shortfalls </w:t>
      </w:r>
      <w:r w:rsidR="00EB2964" w:rsidRPr="002D7D0A">
        <w:t xml:space="preserve">of </w:t>
      </w:r>
      <w:r w:rsidR="00700EE6">
        <w:t>the CJMM</w:t>
      </w:r>
      <w:r w:rsidR="00700EE6" w:rsidRPr="002D7D0A">
        <w:t xml:space="preserve">’s </w:t>
      </w:r>
      <w:r w:rsidR="00D4709B" w:rsidRPr="002D7D0A">
        <w:t xml:space="preserve">strategies for </w:t>
      </w:r>
      <w:r w:rsidR="005B4FDE" w:rsidRPr="002D7D0A">
        <w:t xml:space="preserve">gender </w:t>
      </w:r>
      <w:r w:rsidR="00D4709B" w:rsidRPr="002D7D0A">
        <w:t xml:space="preserve">mainstreaming its procurement process </w:t>
      </w:r>
      <w:r w:rsidR="00CD62E5">
        <w:t xml:space="preserve">as </w:t>
      </w:r>
      <w:r w:rsidR="00D4709B" w:rsidRPr="002D7D0A">
        <w:t xml:space="preserve">presented earlier. In terms of increasing access to information </w:t>
      </w:r>
      <w:r w:rsidR="00EC05C3" w:rsidRPr="002D7D0A">
        <w:t xml:space="preserve">and social </w:t>
      </w:r>
      <w:r w:rsidR="00B35E02" w:rsidRPr="002D7D0A">
        <w:t>networks</w:t>
      </w:r>
      <w:r w:rsidR="00CD62E5">
        <w:t>,</w:t>
      </w:r>
      <w:r w:rsidR="00B35E02" w:rsidRPr="002D7D0A">
        <w:t xml:space="preserve"> </w:t>
      </w:r>
      <w:r w:rsidR="00515B03">
        <w:t>female</w:t>
      </w:r>
      <w:r w:rsidR="00515B03" w:rsidRPr="002D7D0A">
        <w:t xml:space="preserve"> </w:t>
      </w:r>
      <w:r w:rsidR="00055694" w:rsidRPr="002D7D0A">
        <w:t>entrepreneurs</w:t>
      </w:r>
      <w:r w:rsidR="00B35E02" w:rsidRPr="002D7D0A">
        <w:t xml:space="preserve"> are already concerned</w:t>
      </w:r>
      <w:r w:rsidR="00CD62E5">
        <w:t xml:space="preserve"> with the</w:t>
      </w:r>
      <w:r w:rsidR="00B35E02" w:rsidRPr="002D7D0A">
        <w:t xml:space="preserve"> “lack of formal business networks through which they can obtain information” or</w:t>
      </w:r>
      <w:r w:rsidR="00EC05C3" w:rsidRPr="002D7D0A">
        <w:t xml:space="preserve"> </w:t>
      </w:r>
      <w:r w:rsidR="00055694" w:rsidRPr="002D7D0A">
        <w:t xml:space="preserve">the “lack of </w:t>
      </w:r>
      <w:r w:rsidR="00BF6DE2" w:rsidRPr="002D7D0A">
        <w:t xml:space="preserve">time and resources or </w:t>
      </w:r>
      <w:r w:rsidR="00055694" w:rsidRPr="002D7D0A">
        <w:t xml:space="preserve">notification about contract opportunities” (Chin, 2017:49). While the </w:t>
      </w:r>
      <w:r w:rsidR="00700EE6">
        <w:t>CJMM</w:t>
      </w:r>
      <w:r w:rsidR="00700EE6" w:rsidRPr="002D7D0A">
        <w:t xml:space="preserve"> </w:t>
      </w:r>
      <w:r w:rsidR="005B4FDE" w:rsidRPr="002D7D0A">
        <w:t>implement</w:t>
      </w:r>
      <w:r w:rsidR="00700EE6">
        <w:t>ed</w:t>
      </w:r>
      <w:r w:rsidR="005B4FDE" w:rsidRPr="002D7D0A">
        <w:t xml:space="preserve"> a database and an empowerment </w:t>
      </w:r>
      <w:r w:rsidR="00055694" w:rsidRPr="002D7D0A">
        <w:t>program</w:t>
      </w:r>
      <w:r w:rsidR="00CD62E5">
        <w:t>me</w:t>
      </w:r>
      <w:r w:rsidR="00055694" w:rsidRPr="002D7D0A">
        <w:t xml:space="preserve"> for women</w:t>
      </w:r>
      <w:r w:rsidR="00BF6DE2" w:rsidRPr="002D7D0A">
        <w:t>-owned businesses</w:t>
      </w:r>
      <w:r w:rsidR="00055694" w:rsidRPr="002D7D0A">
        <w:t xml:space="preserve"> in the informal economy</w:t>
      </w:r>
      <w:r w:rsidR="005B4FDE" w:rsidRPr="002D7D0A">
        <w:t>,</w:t>
      </w:r>
      <w:r w:rsidR="00055694" w:rsidRPr="002D7D0A">
        <w:t xml:space="preserve"> there seems to be no space in the SCM tendering process where women-</w:t>
      </w:r>
      <w:r w:rsidR="00CD62E5">
        <w:t xml:space="preserve">owned </w:t>
      </w:r>
      <w:r w:rsidR="00055694" w:rsidRPr="002D7D0A">
        <w:t xml:space="preserve">businesses </w:t>
      </w:r>
      <w:r w:rsidR="00BF6DE2" w:rsidRPr="002D7D0A">
        <w:t xml:space="preserve">that are captured </w:t>
      </w:r>
      <w:r w:rsidR="005B4FDE" w:rsidRPr="002D7D0A">
        <w:t>from this gendered parallel</w:t>
      </w:r>
      <w:r w:rsidR="00BF6DE2" w:rsidRPr="002D7D0A">
        <w:t xml:space="preserve"> </w:t>
      </w:r>
      <w:r w:rsidR="005B4FDE" w:rsidRPr="002D7D0A">
        <w:t xml:space="preserve">process </w:t>
      </w:r>
      <w:r w:rsidR="00CD62E5">
        <w:t>are</w:t>
      </w:r>
      <w:r w:rsidR="00CD62E5" w:rsidRPr="002D7D0A">
        <w:t xml:space="preserve"> </w:t>
      </w:r>
      <w:r w:rsidR="00055694" w:rsidRPr="002D7D0A">
        <w:t>directly afforded the platform to tender</w:t>
      </w:r>
      <w:r w:rsidR="005B4FDE" w:rsidRPr="002D7D0A">
        <w:t xml:space="preserve">. It must be acknowledged that there are instances where </w:t>
      </w:r>
      <w:r w:rsidR="00055694" w:rsidRPr="002D7D0A">
        <w:t>the advert</w:t>
      </w:r>
      <w:r w:rsidR="00515B03">
        <w:t>isement</w:t>
      </w:r>
      <w:r w:rsidR="00055694" w:rsidRPr="002D7D0A">
        <w:t>s do call for EME</w:t>
      </w:r>
      <w:r w:rsidR="008D248E" w:rsidRPr="008D248E">
        <w:t>s</w:t>
      </w:r>
      <w:r w:rsidR="00530E94" w:rsidRPr="002D7D0A">
        <w:t xml:space="preserve"> (exempt micro</w:t>
      </w:r>
      <w:r w:rsidR="00515B03">
        <w:t>-</w:t>
      </w:r>
      <w:r w:rsidR="00530E94" w:rsidRPr="002D7D0A">
        <w:t>enterprises with turnover of less than R</w:t>
      </w:r>
      <w:r w:rsidR="00CD62E5">
        <w:t xml:space="preserve">5 </w:t>
      </w:r>
      <w:r w:rsidR="00530E94" w:rsidRPr="002D7D0A">
        <w:t xml:space="preserve">million) </w:t>
      </w:r>
      <w:r w:rsidR="005B4FDE" w:rsidRPr="002D7D0A">
        <w:t xml:space="preserve">to apply </w:t>
      </w:r>
      <w:r w:rsidR="00530E94" w:rsidRPr="002D7D0A">
        <w:t>as pre</w:t>
      </w:r>
      <w:r w:rsidR="00055694" w:rsidRPr="002D7D0A">
        <w:t>scribed in prefe</w:t>
      </w:r>
      <w:r w:rsidR="00530E94" w:rsidRPr="002D7D0A">
        <w:t>re</w:t>
      </w:r>
      <w:r w:rsidR="00055694" w:rsidRPr="002D7D0A">
        <w:t>ntial procurement policies</w:t>
      </w:r>
      <w:r w:rsidR="00CD62E5">
        <w:t>, but</w:t>
      </w:r>
      <w:r w:rsidR="005B4FDE" w:rsidRPr="002D7D0A">
        <w:t xml:space="preserve"> this is not nearly </w:t>
      </w:r>
      <w:r w:rsidR="00700EE6">
        <w:t>sufficient</w:t>
      </w:r>
      <w:r w:rsidR="00700EE6" w:rsidRPr="002D7D0A">
        <w:t xml:space="preserve"> </w:t>
      </w:r>
      <w:r w:rsidR="005B4FDE" w:rsidRPr="002D7D0A">
        <w:t>to harness the potential of women-owned business</w:t>
      </w:r>
      <w:r w:rsidR="0017687F">
        <w:t>es</w:t>
      </w:r>
      <w:r w:rsidR="005B4FDE" w:rsidRPr="002D7D0A">
        <w:t xml:space="preserve"> within this municipal jurisdiction.</w:t>
      </w:r>
      <w:r w:rsidR="00EB2964" w:rsidRPr="002D7D0A">
        <w:t xml:space="preserve"> It is also important that the SCM unit transform</w:t>
      </w:r>
      <w:r w:rsidR="00CD62E5">
        <w:t>s</w:t>
      </w:r>
      <w:r w:rsidR="00EB2964" w:rsidRPr="002D7D0A">
        <w:t xml:space="preserve"> and adopt</w:t>
      </w:r>
      <w:r w:rsidR="00CD62E5">
        <w:t>s</w:t>
      </w:r>
      <w:r w:rsidR="00EB2964" w:rsidRPr="002D7D0A">
        <w:t xml:space="preserve"> a gendered stance for real empowerment to take effect</w:t>
      </w:r>
      <w:r w:rsidR="00CD62E5">
        <w:t>,</w:t>
      </w:r>
      <w:r w:rsidR="00EB2964" w:rsidRPr="002D7D0A">
        <w:t xml:space="preserve"> otherwise the “onus of fulfilling the promise of gender equality and the empowerment falls squarely on the shoulders of women’s rights advocates and their allies” (Razavi, 2016:39).</w:t>
      </w:r>
    </w:p>
    <w:p w:rsidR="00E439D8" w:rsidRDefault="00462136" w:rsidP="002D7D0A">
      <w:r>
        <w:t>Secondly, and equally important is t</w:t>
      </w:r>
      <w:r w:rsidR="00A70AEF" w:rsidRPr="002D7D0A">
        <w:t>he common use of price as the preferred selection criteri</w:t>
      </w:r>
      <w:r w:rsidR="00CD62E5">
        <w:t>on</w:t>
      </w:r>
      <w:r w:rsidR="00A70AEF" w:rsidRPr="002D7D0A">
        <w:t xml:space="preserve"> often isolate</w:t>
      </w:r>
      <w:r w:rsidR="00700EE6">
        <w:t>s</w:t>
      </w:r>
      <w:r w:rsidR="00A70AEF" w:rsidRPr="002D7D0A">
        <w:t xml:space="preserve"> women-owned businesses. </w:t>
      </w:r>
      <w:r w:rsidR="00A819C7" w:rsidRPr="002D7D0A">
        <w:t xml:space="preserve">This is because larger firms will </w:t>
      </w:r>
      <w:r w:rsidR="0017687F">
        <w:t xml:space="preserve">be </w:t>
      </w:r>
      <w:r w:rsidR="00A819C7" w:rsidRPr="002D7D0A">
        <w:t>able to rely on other economies of scale</w:t>
      </w:r>
      <w:r w:rsidR="00CD62E5">
        <w:t>,</w:t>
      </w:r>
      <w:r w:rsidR="00A819C7" w:rsidRPr="002D7D0A">
        <w:t xml:space="preserve"> such as institutional and human resources</w:t>
      </w:r>
      <w:r w:rsidR="00CD62E5">
        <w:t>,</w:t>
      </w:r>
      <w:r w:rsidR="00A819C7" w:rsidRPr="002D7D0A">
        <w:t xml:space="preserve"> to offer much more competitive pricing tha</w:t>
      </w:r>
      <w:r w:rsidR="00CD62E5">
        <w:t>n</w:t>
      </w:r>
      <w:r w:rsidR="00A819C7" w:rsidRPr="002D7D0A">
        <w:t xml:space="preserve"> the smaller firms owned by women. </w:t>
      </w:r>
      <w:r w:rsidR="00A70AEF" w:rsidRPr="002D7D0A">
        <w:t>The suggestion</w:t>
      </w:r>
      <w:r w:rsidR="00A819C7" w:rsidRPr="002D7D0A">
        <w:t xml:space="preserve"> made here is that</w:t>
      </w:r>
      <w:r w:rsidR="00A70AEF" w:rsidRPr="002D7D0A">
        <w:t xml:space="preserve"> other va</w:t>
      </w:r>
      <w:r w:rsidR="00A819C7" w:rsidRPr="002D7D0A">
        <w:t>lue determinations</w:t>
      </w:r>
      <w:r w:rsidR="00CD62E5">
        <w:t>,</w:t>
      </w:r>
      <w:r w:rsidR="00A819C7" w:rsidRPr="002D7D0A">
        <w:t xml:space="preserve"> for instance</w:t>
      </w:r>
      <w:r w:rsidR="00A70AEF" w:rsidRPr="002D7D0A">
        <w:t xml:space="preserve"> </w:t>
      </w:r>
      <w:r w:rsidR="00A819C7" w:rsidRPr="002D7D0A">
        <w:t>“</w:t>
      </w:r>
      <w:r w:rsidR="00A70AEF" w:rsidRPr="002D7D0A">
        <w:t>technical merit, quality, cost effectiveness, and after sales services be considered</w:t>
      </w:r>
      <w:r w:rsidR="005B2140" w:rsidRPr="002D7D0A">
        <w:t>”</w:t>
      </w:r>
      <w:r w:rsidR="00A70AEF" w:rsidRPr="002D7D0A">
        <w:t xml:space="preserve"> when evaluating bids</w:t>
      </w:r>
      <w:r w:rsidR="00CD62E5">
        <w:t>,</w:t>
      </w:r>
      <w:r w:rsidR="00A70AEF" w:rsidRPr="002D7D0A">
        <w:t xml:space="preserve"> </w:t>
      </w:r>
      <w:r w:rsidR="00CD62E5">
        <w:t>as</w:t>
      </w:r>
      <w:r w:rsidR="00A70AEF" w:rsidRPr="002D7D0A">
        <w:t xml:space="preserve"> emphasi</w:t>
      </w:r>
      <w:r w:rsidR="00CD62E5">
        <w:t>s</w:t>
      </w:r>
      <w:r w:rsidR="00A70AEF" w:rsidRPr="002D7D0A">
        <w:t>ed by Chin (2017:52).</w:t>
      </w:r>
    </w:p>
    <w:p w:rsidR="00055694" w:rsidRDefault="00A70AEF" w:rsidP="002D7D0A">
      <w:r w:rsidRPr="002D7D0A">
        <w:t>Presently</w:t>
      </w:r>
      <w:r w:rsidR="0017687F">
        <w:t>,</w:t>
      </w:r>
      <w:r w:rsidRPr="002D7D0A">
        <w:t xml:space="preserve"> the </w:t>
      </w:r>
      <w:r w:rsidR="005B2140" w:rsidRPr="002D7D0A">
        <w:t>status</w:t>
      </w:r>
      <w:r w:rsidRPr="002D7D0A">
        <w:t xml:space="preserve"> quo </w:t>
      </w:r>
      <w:r w:rsidR="005B2140" w:rsidRPr="002D7D0A">
        <w:t xml:space="preserve">in Johannesburg </w:t>
      </w:r>
      <w:r w:rsidRPr="002D7D0A">
        <w:t>rests on price and BB</w:t>
      </w:r>
      <w:r w:rsidR="0017687F">
        <w:t>B</w:t>
      </w:r>
      <w:r w:rsidRPr="002D7D0A">
        <w:t>EE status</w:t>
      </w:r>
      <w:r w:rsidR="00CD62E5">
        <w:t>,</w:t>
      </w:r>
      <w:r w:rsidRPr="002D7D0A">
        <w:t xml:space="preserve"> with gender as </w:t>
      </w:r>
      <w:r w:rsidR="005B2140" w:rsidRPr="002D7D0A">
        <w:t xml:space="preserve">a </w:t>
      </w:r>
      <w:r w:rsidRPr="002D7D0A">
        <w:t>peripheral classification that is not considered in the bidding process</w:t>
      </w:r>
      <w:r w:rsidR="00CD62E5">
        <w:t>, as</w:t>
      </w:r>
      <w:r w:rsidRPr="002D7D0A">
        <w:t xml:space="preserve"> </w:t>
      </w:r>
      <w:r w:rsidR="005B2140" w:rsidRPr="002D7D0A">
        <w:t>shown earlier</w:t>
      </w:r>
      <w:r w:rsidR="00462136">
        <w:t xml:space="preserve"> in Table 4</w:t>
      </w:r>
      <w:r w:rsidR="00CD62E5">
        <w:t>. This</w:t>
      </w:r>
      <w:r w:rsidRPr="002D7D0A">
        <w:t xml:space="preserve"> needs to change</w:t>
      </w:r>
      <w:r w:rsidR="005B2140" w:rsidRPr="002D7D0A">
        <w:t xml:space="preserve">. This </w:t>
      </w:r>
      <w:r w:rsidR="00763D60">
        <w:t xml:space="preserve">will require that </w:t>
      </w:r>
      <w:r w:rsidR="00055694" w:rsidRPr="002D7D0A">
        <w:lastRenderedPageBreak/>
        <w:t>“challenging inequality</w:t>
      </w:r>
      <w:r w:rsidR="00763D60">
        <w:t>” to “</w:t>
      </w:r>
      <w:r w:rsidR="00055694" w:rsidRPr="002D7D0A">
        <w:t>involve questioning and shifting the economic</w:t>
      </w:r>
      <w:r w:rsidR="00DE64BB" w:rsidRPr="002D7D0A">
        <w:t xml:space="preserve"> model that has been promoted”</w:t>
      </w:r>
      <w:r w:rsidR="00CD62E5">
        <w:t>,</w:t>
      </w:r>
      <w:r w:rsidR="00DE64BB" w:rsidRPr="002D7D0A">
        <w:t xml:space="preserve"> which may prove too tedious a task for the city officials to undertake since it “</w:t>
      </w:r>
      <w:r w:rsidR="00055694" w:rsidRPr="002D7D0A">
        <w:t>involves profoundly questioning power and current economic model” (</w:t>
      </w:r>
      <w:r w:rsidR="00701836" w:rsidRPr="00670866">
        <w:t>Fukuda-Parr</w:t>
      </w:r>
      <w:r w:rsidRPr="002D7D0A">
        <w:t xml:space="preserve">, </w:t>
      </w:r>
      <w:r w:rsidR="00055694" w:rsidRPr="002D7D0A">
        <w:t>2016:30).</w:t>
      </w:r>
      <w:r w:rsidR="00E439D8" w:rsidRPr="00E439D8">
        <w:t xml:space="preserve"> </w:t>
      </w:r>
      <w:r w:rsidR="00E439D8">
        <w:t>This may explain why the status quo of BBBEE reporting supersedes gendered reporting for the CJMM despite evidence of the city’s strategy for gender equality and the empowerment of women entrepreneurs.</w:t>
      </w:r>
    </w:p>
    <w:p w:rsidR="00E439D8" w:rsidRPr="00E439D8" w:rsidRDefault="00E439D8" w:rsidP="00A23532"/>
    <w:p w:rsidR="00E439D8" w:rsidRPr="00E439D8" w:rsidRDefault="002827EB" w:rsidP="002827EB">
      <w:pPr>
        <w:pStyle w:val="Heading1"/>
      </w:pPr>
      <w:r>
        <w:t>4.</w:t>
      </w:r>
      <w:r w:rsidR="00E439D8" w:rsidRPr="00E439D8">
        <w:t xml:space="preserve"> FINDINGS ON ENHANCING THE GENDER IMPERATIVE</w:t>
      </w:r>
    </w:p>
    <w:p w:rsidR="008F788D" w:rsidRPr="002D7D0A" w:rsidRDefault="00A23532" w:rsidP="009351EC">
      <w:pPr>
        <w:pStyle w:val="Heading2"/>
        <w:rPr>
          <w:bCs/>
        </w:rPr>
      </w:pPr>
      <w:r>
        <w:t xml:space="preserve">The CJMM has adopted and implemented a comprehensive SCM policy that complies with international protocol as well as national legal framework for economic redress through procurement. International experience shows that policies alone often cannot substantially empower previously disadvantaged groups. </w:t>
      </w:r>
      <w:r w:rsidR="008F788D" w:rsidRPr="002D7D0A">
        <w:t>Barriers to SMME involvement persist in India</w:t>
      </w:r>
      <w:r w:rsidR="00CD62E5">
        <w:t>’s</w:t>
      </w:r>
      <w:r w:rsidR="008F788D" w:rsidRPr="002D7D0A">
        <w:t xml:space="preserve"> experience with procurement and therefore “targets and the concomitant SMME friendly policies by itself do not guarantee full implementation</w:t>
      </w:r>
      <w:r w:rsidR="00CD62E5">
        <w:t>,</w:t>
      </w:r>
      <w:r w:rsidR="008F788D" w:rsidRPr="002D7D0A">
        <w:t xml:space="preserve"> thereby hampering SMME participation</w:t>
      </w:r>
      <w:r w:rsidR="00CD62E5">
        <w:t>”</w:t>
      </w:r>
      <w:r w:rsidR="008F788D" w:rsidRPr="002D7D0A">
        <w:t xml:space="preserve"> (Pa</w:t>
      </w:r>
      <w:r w:rsidR="00701836">
        <w:t>t</w:t>
      </w:r>
      <w:r w:rsidR="008F788D" w:rsidRPr="002D7D0A">
        <w:t xml:space="preserve">il, 2017:403). These findings collaborate with “experiences from </w:t>
      </w:r>
      <w:r w:rsidR="00CD62E5">
        <w:t xml:space="preserve">[the] </w:t>
      </w:r>
      <w:r w:rsidR="008F788D" w:rsidRPr="002D7D0A">
        <w:t>UK, EU and South Africa whose policy reviews highlight problems of lower SMME representation despite a host of SMME support programmes</w:t>
      </w:r>
      <w:r w:rsidR="00CD62E5">
        <w:t>”</w:t>
      </w:r>
      <w:r w:rsidR="008F788D" w:rsidRPr="002D7D0A">
        <w:t xml:space="preserve"> (</w:t>
      </w:r>
      <w:r w:rsidR="00EB2964" w:rsidRPr="002D7D0A">
        <w:t>Pa</w:t>
      </w:r>
      <w:r w:rsidR="00701836">
        <w:t>t</w:t>
      </w:r>
      <w:r w:rsidR="00EB2964" w:rsidRPr="002D7D0A">
        <w:t xml:space="preserve">il, </w:t>
      </w:r>
      <w:r w:rsidR="008F788D" w:rsidRPr="002D7D0A">
        <w:t xml:space="preserve">2017:404). The anecdotal evidence </w:t>
      </w:r>
      <w:r w:rsidR="00EB2964" w:rsidRPr="002D7D0A">
        <w:t xml:space="preserve">presented above can be </w:t>
      </w:r>
      <w:r w:rsidR="008F788D" w:rsidRPr="002D7D0A">
        <w:t xml:space="preserve">equated to the experience of </w:t>
      </w:r>
      <w:r w:rsidR="0017687F">
        <w:t>female</w:t>
      </w:r>
      <w:r w:rsidR="0017687F" w:rsidRPr="002D7D0A">
        <w:t xml:space="preserve"> </w:t>
      </w:r>
      <w:r w:rsidR="008F788D" w:rsidRPr="002D7D0A">
        <w:t xml:space="preserve">entrepreneurs </w:t>
      </w:r>
      <w:r w:rsidR="0017687F">
        <w:t>who</w:t>
      </w:r>
      <w:r w:rsidR="0017687F" w:rsidRPr="002D7D0A">
        <w:t xml:space="preserve"> </w:t>
      </w:r>
      <w:r w:rsidR="008F788D" w:rsidRPr="002D7D0A">
        <w:t xml:space="preserve">can </w:t>
      </w:r>
      <w:r w:rsidR="00CD62E5">
        <w:t>participate</w:t>
      </w:r>
      <w:r w:rsidR="00C5586C">
        <w:t xml:space="preserve"> minimally</w:t>
      </w:r>
      <w:r w:rsidR="00CD62E5" w:rsidRPr="002D7D0A">
        <w:t xml:space="preserve"> </w:t>
      </w:r>
      <w:r w:rsidR="008F788D" w:rsidRPr="002D7D0A">
        <w:t xml:space="preserve">in </w:t>
      </w:r>
      <w:r w:rsidR="00700EE6">
        <w:t>the CJMM</w:t>
      </w:r>
      <w:r w:rsidR="00700EE6" w:rsidRPr="002D7D0A">
        <w:t xml:space="preserve">’s </w:t>
      </w:r>
      <w:r w:rsidR="008F788D" w:rsidRPr="002D7D0A">
        <w:t xml:space="preserve">procurement. </w:t>
      </w:r>
    </w:p>
    <w:p w:rsidR="000A1C56" w:rsidRDefault="00763D60" w:rsidP="000A1C56">
      <w:r>
        <w:t>Although the goal is not yet achieved, i</w:t>
      </w:r>
      <w:r w:rsidR="00EB2964" w:rsidRPr="002D7D0A">
        <w:t>t is also important that gender</w:t>
      </w:r>
      <w:r w:rsidR="00CD62E5">
        <w:t>-</w:t>
      </w:r>
      <w:r w:rsidR="00EB2964" w:rsidRPr="002D7D0A">
        <w:t xml:space="preserve">disaggregated data remain a centrepiece of gender mainstreaming </w:t>
      </w:r>
      <w:r w:rsidR="00700EE6">
        <w:t>the CJMM</w:t>
      </w:r>
      <w:r w:rsidR="00700EE6" w:rsidRPr="002D7D0A">
        <w:t xml:space="preserve">’s </w:t>
      </w:r>
      <w:r w:rsidR="00EB2964" w:rsidRPr="002D7D0A">
        <w:t>procurement process for two main reasons.</w:t>
      </w:r>
      <w:r w:rsidR="000A1C56" w:rsidRPr="002D7D0A">
        <w:t xml:space="preserve"> “The purpose of accountability mechanisms is two-fold”</w:t>
      </w:r>
      <w:r w:rsidR="00700EE6">
        <w:t>,</w:t>
      </w:r>
      <w:r w:rsidR="000A1C56" w:rsidRPr="002D7D0A">
        <w:t xml:space="preserve"> “part corrective by making it possible to address individual or collective grievances” and “preventative function entailing positive duties”</w:t>
      </w:r>
      <w:r w:rsidR="00700EE6">
        <w:t>,</w:t>
      </w:r>
      <w:r w:rsidR="000A1C56" w:rsidRPr="002D7D0A">
        <w:t xml:space="preserve"> “important uses of timely reliable disaggregated data</w:t>
      </w:r>
      <w:r w:rsidR="0017687F" w:rsidRPr="006763FB">
        <w:t xml:space="preserve"> </w:t>
      </w:r>
      <w:r w:rsidR="000A1C56" w:rsidRPr="002D7D0A">
        <w:t xml:space="preserve">… “enable different actors to tack progress on the implementation of the agreed upon goals and targets” </w:t>
      </w:r>
      <w:r w:rsidR="00700EE6">
        <w:t>that “</w:t>
      </w:r>
      <w:r w:rsidR="000A1C56" w:rsidRPr="002D7D0A">
        <w:t>enable rights-holders to hold duty-bearers responsible” (</w:t>
      </w:r>
      <w:r w:rsidR="00EB2964" w:rsidRPr="002D7D0A">
        <w:t xml:space="preserve">Razavi, </w:t>
      </w:r>
      <w:r w:rsidR="000A1C56" w:rsidRPr="002D7D0A">
        <w:t>2016:38)</w:t>
      </w:r>
      <w:r w:rsidR="00CD62E5">
        <w:t>.</w:t>
      </w:r>
      <w:r w:rsidR="00E439D8">
        <w:t xml:space="preserve"> </w:t>
      </w:r>
    </w:p>
    <w:p w:rsidR="00AA5CE5" w:rsidRPr="002D7D0A" w:rsidRDefault="00AA5CE5" w:rsidP="000A1C56"/>
    <w:p w:rsidR="001367A8" w:rsidRPr="002D7D0A" w:rsidRDefault="002827EB" w:rsidP="00811F02">
      <w:pPr>
        <w:pStyle w:val="Heading1"/>
        <w:rPr>
          <w:color w:val="000000"/>
        </w:rPr>
      </w:pPr>
      <w:r>
        <w:t>5.</w:t>
      </w:r>
      <w:r w:rsidR="001367A8" w:rsidRPr="002D7D0A">
        <w:t xml:space="preserve"> </w:t>
      </w:r>
      <w:r w:rsidR="00914F16" w:rsidRPr="002D7D0A">
        <w:t>CONCLUSION</w:t>
      </w:r>
      <w:r w:rsidR="00740B72">
        <w:t>S AND RECOMMENDATION</w:t>
      </w:r>
    </w:p>
    <w:p w:rsidR="00740B72" w:rsidRDefault="00740B72" w:rsidP="002D7D0A">
      <w:pPr>
        <w:spacing w:after="120"/>
      </w:pPr>
      <w:r>
        <w:t xml:space="preserve">Gender mainstreaming is a continuous process that will require the proactive engagement of all stakeholders involved particularly in procurement to ensure that </w:t>
      </w:r>
      <w:r>
        <w:lastRenderedPageBreak/>
        <w:t xml:space="preserve">women entrepreneurs have participate and benefit from substantial government contracting. The United Nations reiterates this clarion call for member states including South Africa to implement. </w:t>
      </w:r>
    </w:p>
    <w:p w:rsidR="00577BD2" w:rsidRDefault="00EB2964" w:rsidP="002D7D0A">
      <w:pPr>
        <w:spacing w:after="120"/>
      </w:pPr>
      <w:r w:rsidRPr="002D7D0A">
        <w:t xml:space="preserve">As an important economic </w:t>
      </w:r>
      <w:r w:rsidR="00685DC8" w:rsidRPr="002D7D0A">
        <w:t xml:space="preserve">hub for South Africa, Johannesburg has a </w:t>
      </w:r>
      <w:r w:rsidR="007D1EC2" w:rsidRPr="002D7D0A">
        <w:t>profound</w:t>
      </w:r>
      <w:r w:rsidR="00685DC8" w:rsidRPr="002D7D0A">
        <w:t xml:space="preserve"> impact </w:t>
      </w:r>
      <w:r w:rsidR="00C5586C">
        <w:t xml:space="preserve">in promoting gender equality and the empowerment of women </w:t>
      </w:r>
      <w:r w:rsidR="00685DC8" w:rsidRPr="002D7D0A">
        <w:t>o</w:t>
      </w:r>
      <w:r w:rsidR="0017687F">
        <w:t>n</w:t>
      </w:r>
      <w:r w:rsidR="00685DC8" w:rsidRPr="002D7D0A">
        <w:t xml:space="preserve"> how it implements its procurement policies. The </w:t>
      </w:r>
      <w:r w:rsidR="00740B72">
        <w:t xml:space="preserve">city’s </w:t>
      </w:r>
      <w:r w:rsidR="00685DC8" w:rsidRPr="002D7D0A">
        <w:t xml:space="preserve">policy framework for </w:t>
      </w:r>
      <w:r w:rsidR="00740B72">
        <w:t xml:space="preserve">its </w:t>
      </w:r>
      <w:r w:rsidR="00685DC8" w:rsidRPr="002D7D0A">
        <w:t xml:space="preserve">SCM </w:t>
      </w:r>
      <w:r w:rsidR="00740B72">
        <w:t>strives to achieve</w:t>
      </w:r>
      <w:r w:rsidR="00685DC8" w:rsidRPr="002D7D0A">
        <w:t xml:space="preserve"> the external goal for economic equity in terms of race but equally important in terms of gender. </w:t>
      </w:r>
      <w:r w:rsidR="00C5586C">
        <w:t xml:space="preserve">To </w:t>
      </w:r>
      <w:r w:rsidR="007B5B12">
        <w:t xml:space="preserve">achieve </w:t>
      </w:r>
      <w:r w:rsidR="00C5586C">
        <w:t xml:space="preserve">this </w:t>
      </w:r>
      <w:r w:rsidR="007B5B12">
        <w:t>goal</w:t>
      </w:r>
      <w:r w:rsidR="00C5586C">
        <w:t xml:space="preserve"> and give effect to the national gender framework, t</w:t>
      </w:r>
      <w:r w:rsidR="006D62A5" w:rsidRPr="002D7D0A">
        <w:t xml:space="preserve">he </w:t>
      </w:r>
      <w:r w:rsidR="00700EE6">
        <w:t>CJMM</w:t>
      </w:r>
      <w:r w:rsidR="00700EE6" w:rsidRPr="002D7D0A">
        <w:t xml:space="preserve"> </w:t>
      </w:r>
      <w:r w:rsidR="006D62A5" w:rsidRPr="002D7D0A">
        <w:t xml:space="preserve">must accelerate the economic empowerment of women-owned businesses that </w:t>
      </w:r>
      <w:r w:rsidR="00CD62E5">
        <w:t>are</w:t>
      </w:r>
      <w:r w:rsidR="00CD62E5" w:rsidRPr="002D7D0A">
        <w:t xml:space="preserve"> </w:t>
      </w:r>
      <w:r w:rsidR="006D62A5" w:rsidRPr="002D7D0A">
        <w:t xml:space="preserve">on the periphery by proactive inclusion </w:t>
      </w:r>
      <w:r w:rsidR="00115D1A">
        <w:t>so that this business</w:t>
      </w:r>
      <w:r w:rsidR="00C5586C">
        <w:t xml:space="preserve"> category can become and remain</w:t>
      </w:r>
      <w:r w:rsidR="006D62A5" w:rsidRPr="002D7D0A">
        <w:t xml:space="preserve"> active contractors for </w:t>
      </w:r>
      <w:r w:rsidR="00115D1A">
        <w:t>the municipality</w:t>
      </w:r>
      <w:r w:rsidR="006D62A5" w:rsidRPr="002D7D0A">
        <w:t>.</w:t>
      </w:r>
      <w:r w:rsidR="00C5586C">
        <w:t xml:space="preserve"> This</w:t>
      </w:r>
      <w:r w:rsidR="00115D1A">
        <w:t xml:space="preserve"> gendered</w:t>
      </w:r>
      <w:r w:rsidR="00C5586C">
        <w:t xml:space="preserve"> information must be captured in the city’s periodic reporting framework</w:t>
      </w:r>
      <w:r w:rsidR="00740B72">
        <w:t xml:space="preserve"> so that the community of CJMM can measure the attainment of the fifth SDG</w:t>
      </w:r>
      <w:r w:rsidR="00C5586C">
        <w:t>.</w:t>
      </w:r>
    </w:p>
    <w:p w:rsidR="00C5586C" w:rsidRPr="002D7D0A" w:rsidRDefault="00C5586C" w:rsidP="002D7D0A">
      <w:pPr>
        <w:spacing w:after="120"/>
      </w:pPr>
    </w:p>
    <w:p w:rsidR="00734D89" w:rsidRPr="00DF0C31" w:rsidRDefault="00734D89" w:rsidP="00F347A7">
      <w:pPr>
        <w:contextualSpacing/>
        <w:rPr>
          <w:b/>
          <w:bCs/>
        </w:rPr>
      </w:pPr>
      <w:r w:rsidRPr="00DF0C31">
        <w:rPr>
          <w:b/>
          <w:bCs/>
        </w:rPr>
        <w:t>ACKNOWLEDGEMENTS</w:t>
      </w:r>
    </w:p>
    <w:p w:rsidR="00734D89" w:rsidRDefault="00734D89" w:rsidP="002D7D0A">
      <w:pPr>
        <w:spacing w:after="120"/>
      </w:pPr>
      <w:r w:rsidRPr="00DF0C31">
        <w:t>The author wishes to thank the National Research Foundation and the University of Johannesburg for their financial support towards this research work.</w:t>
      </w:r>
    </w:p>
    <w:p w:rsidR="00AA5CE5" w:rsidRPr="00DF0C31" w:rsidRDefault="00AA5CE5" w:rsidP="002D7D0A">
      <w:pPr>
        <w:spacing w:after="120"/>
      </w:pPr>
    </w:p>
    <w:p w:rsidR="001367A8" w:rsidRPr="002D7D0A" w:rsidRDefault="00811F02" w:rsidP="00811F02">
      <w:pPr>
        <w:pStyle w:val="Heading1"/>
        <w:contextualSpacing/>
      </w:pPr>
      <w:r w:rsidRPr="002D7D0A">
        <w:t xml:space="preserve">REFERENCES </w:t>
      </w:r>
    </w:p>
    <w:p w:rsidR="00021B78" w:rsidRPr="00DF0C31" w:rsidRDefault="000C344A" w:rsidP="00C86975">
      <w:pPr>
        <w:pStyle w:val="TableofAuthorities"/>
        <w:spacing w:after="288"/>
      </w:pPr>
      <w:r w:rsidRPr="00DF0C31">
        <w:t xml:space="preserve">Ambe, </w:t>
      </w:r>
      <w:r w:rsidR="00CD62E5">
        <w:t>I.</w:t>
      </w:r>
      <w:r w:rsidRPr="00DF0C31">
        <w:t xml:space="preserve">E. </w:t>
      </w:r>
      <w:r w:rsidR="00CD62E5">
        <w:t>&amp;</w:t>
      </w:r>
      <w:r w:rsidR="00CD62E5" w:rsidRPr="00DF0C31">
        <w:t xml:space="preserve"> </w:t>
      </w:r>
      <w:r w:rsidRPr="00DF0C31">
        <w:t>Badenhorst-Weiss</w:t>
      </w:r>
      <w:r w:rsidR="00CD62E5">
        <w:t>, J.A.</w:t>
      </w:r>
      <w:r w:rsidRPr="00DF0C31">
        <w:t xml:space="preserve"> (2012)</w:t>
      </w:r>
      <w:r w:rsidR="00021B78" w:rsidRPr="00DF0C31">
        <w:t xml:space="preserve">. </w:t>
      </w:r>
      <w:r w:rsidRPr="00DF0C31">
        <w:t xml:space="preserve">Procurement </w:t>
      </w:r>
      <w:r w:rsidR="00CD62E5">
        <w:t>c</w:t>
      </w:r>
      <w:r w:rsidRPr="00DF0C31">
        <w:t xml:space="preserve">hallenges in the South African </w:t>
      </w:r>
      <w:r w:rsidR="00CD62E5">
        <w:t>p</w:t>
      </w:r>
      <w:r w:rsidRPr="00DF0C31">
        <w:t xml:space="preserve">ublic </w:t>
      </w:r>
      <w:r w:rsidR="00CD62E5">
        <w:t>s</w:t>
      </w:r>
      <w:r w:rsidRPr="00DF0C31">
        <w:t>ector</w:t>
      </w:r>
      <w:r w:rsidR="00CD62E5">
        <w:t>.</w:t>
      </w:r>
      <w:r w:rsidRPr="00DF0C31">
        <w:rPr>
          <w:i/>
        </w:rPr>
        <w:t xml:space="preserve"> Journal of Transport and Supply Management</w:t>
      </w:r>
      <w:r w:rsidRPr="00DF0C31">
        <w:t>, 6</w:t>
      </w:r>
      <w:r w:rsidR="00CD62E5">
        <w:t>(</w:t>
      </w:r>
      <w:r w:rsidRPr="00DF0C31">
        <w:t>1</w:t>
      </w:r>
      <w:r w:rsidR="00CD62E5">
        <w:t>)</w:t>
      </w:r>
      <w:r w:rsidRPr="00DF0C31">
        <w:t>, 242</w:t>
      </w:r>
      <w:r w:rsidR="00CD62E5">
        <w:t>-</w:t>
      </w:r>
      <w:r w:rsidRPr="00DF0C31">
        <w:t>261.</w:t>
      </w:r>
    </w:p>
    <w:p w:rsidR="003607C7" w:rsidRPr="00C86975" w:rsidRDefault="003607C7" w:rsidP="00C86975">
      <w:pPr>
        <w:autoSpaceDE w:val="0"/>
        <w:autoSpaceDN w:val="0"/>
        <w:adjustRightInd w:val="0"/>
        <w:spacing w:beforeLines="120" w:before="288" w:afterLines="120" w:after="288"/>
        <w:rPr>
          <w:color w:val="000000" w:themeColor="text1"/>
          <w:lang w:eastAsia="ko-KR"/>
        </w:rPr>
      </w:pPr>
      <w:r w:rsidRPr="00C86975">
        <w:rPr>
          <w:rFonts w:eastAsia="MS Mincho"/>
          <w:color w:val="000000" w:themeColor="text1"/>
          <w:lang w:eastAsia="tr-TR"/>
        </w:rPr>
        <w:t xml:space="preserve">Bowen, G.A. (2009). Document </w:t>
      </w:r>
      <w:r w:rsidR="00CD62E5" w:rsidRPr="00C86975">
        <w:rPr>
          <w:rFonts w:eastAsia="MS Mincho"/>
          <w:color w:val="000000" w:themeColor="text1"/>
          <w:lang w:eastAsia="tr-TR"/>
        </w:rPr>
        <w:t>a</w:t>
      </w:r>
      <w:r w:rsidRPr="00C86975">
        <w:rPr>
          <w:rFonts w:eastAsia="MS Mincho"/>
          <w:color w:val="000000" w:themeColor="text1"/>
          <w:lang w:eastAsia="tr-TR"/>
        </w:rPr>
        <w:t xml:space="preserve">nalysis as a </w:t>
      </w:r>
      <w:r w:rsidR="00CD62E5" w:rsidRPr="00C86975">
        <w:rPr>
          <w:rFonts w:eastAsia="MS Mincho"/>
          <w:color w:val="000000" w:themeColor="text1"/>
          <w:lang w:eastAsia="tr-TR"/>
        </w:rPr>
        <w:t>q</w:t>
      </w:r>
      <w:r w:rsidRPr="00C86975">
        <w:rPr>
          <w:rFonts w:eastAsia="MS Mincho"/>
          <w:color w:val="000000" w:themeColor="text1"/>
          <w:lang w:eastAsia="tr-TR"/>
        </w:rPr>
        <w:t xml:space="preserve">ualitative </w:t>
      </w:r>
      <w:r w:rsidR="00CD62E5" w:rsidRPr="00C86975">
        <w:rPr>
          <w:rFonts w:eastAsia="MS Mincho"/>
          <w:color w:val="000000" w:themeColor="text1"/>
          <w:lang w:eastAsia="tr-TR"/>
        </w:rPr>
        <w:t>r</w:t>
      </w:r>
      <w:r w:rsidRPr="00C86975">
        <w:rPr>
          <w:rFonts w:eastAsia="MS Mincho"/>
          <w:color w:val="000000" w:themeColor="text1"/>
          <w:lang w:eastAsia="tr-TR"/>
        </w:rPr>
        <w:t xml:space="preserve">esearch </w:t>
      </w:r>
      <w:r w:rsidR="00CD62E5" w:rsidRPr="00C86975">
        <w:rPr>
          <w:rFonts w:eastAsia="MS Mincho"/>
          <w:color w:val="000000" w:themeColor="text1"/>
          <w:lang w:eastAsia="tr-TR"/>
        </w:rPr>
        <w:t>m</w:t>
      </w:r>
      <w:r w:rsidRPr="00C86975">
        <w:rPr>
          <w:rFonts w:eastAsia="MS Mincho"/>
          <w:color w:val="000000" w:themeColor="text1"/>
          <w:lang w:eastAsia="tr-TR"/>
        </w:rPr>
        <w:t>ethod</w:t>
      </w:r>
      <w:r w:rsidR="00CD62E5" w:rsidRPr="00C86975">
        <w:rPr>
          <w:rFonts w:eastAsia="MS Mincho"/>
          <w:color w:val="000000" w:themeColor="text1"/>
          <w:lang w:eastAsia="tr-TR"/>
        </w:rPr>
        <w:t xml:space="preserve">. </w:t>
      </w:r>
      <w:r w:rsidRPr="00C86975">
        <w:rPr>
          <w:rFonts w:eastAsia="MS Mincho"/>
          <w:i/>
          <w:color w:val="000000" w:themeColor="text1"/>
          <w:lang w:eastAsia="tr-TR"/>
        </w:rPr>
        <w:t>Qualitative Research Journal</w:t>
      </w:r>
      <w:r w:rsidRPr="00C86975">
        <w:rPr>
          <w:rFonts w:eastAsia="MS Mincho"/>
          <w:color w:val="000000" w:themeColor="text1"/>
          <w:lang w:eastAsia="tr-TR"/>
        </w:rPr>
        <w:t xml:space="preserve">, 9(2), 27-40. </w:t>
      </w:r>
    </w:p>
    <w:p w:rsidR="00701836" w:rsidRPr="00C86975" w:rsidRDefault="00701836" w:rsidP="00C86975">
      <w:pPr>
        <w:pStyle w:val="TableofAuthorities"/>
        <w:spacing w:after="288"/>
        <w:rPr>
          <w:color w:val="000000" w:themeColor="text1"/>
          <w:lang w:val="en-GB"/>
        </w:rPr>
      </w:pPr>
      <w:r w:rsidRPr="00C86975">
        <w:rPr>
          <w:color w:val="000000" w:themeColor="text1"/>
        </w:rPr>
        <w:t xml:space="preserve">Chin, K. (2017). </w:t>
      </w:r>
      <w:r w:rsidRPr="00C86975">
        <w:rPr>
          <w:i/>
          <w:color w:val="000000" w:themeColor="text1"/>
        </w:rPr>
        <w:t xml:space="preserve">The Power of Procurement: How to Source </w:t>
      </w:r>
      <w:r w:rsidR="0017687F" w:rsidRPr="00C86975">
        <w:rPr>
          <w:i/>
          <w:color w:val="000000" w:themeColor="text1"/>
        </w:rPr>
        <w:t>f</w:t>
      </w:r>
      <w:r w:rsidRPr="00C86975">
        <w:rPr>
          <w:i/>
          <w:color w:val="000000" w:themeColor="text1"/>
        </w:rPr>
        <w:t>rom Women-owned Businesses: Corporate Guide to Gender-responsive Procurement</w:t>
      </w:r>
      <w:r w:rsidRPr="00C86975">
        <w:rPr>
          <w:color w:val="000000" w:themeColor="text1"/>
        </w:rPr>
        <w:t xml:space="preserve">. </w:t>
      </w:r>
      <w:hyperlink w:history="1"/>
      <w:hyperlink r:id="rId8" w:history="1">
        <w:r w:rsidR="0017687F" w:rsidRPr="00C86975">
          <w:rPr>
            <w:rStyle w:val="Hyperlink"/>
            <w:rFonts w:eastAsia="Times New Roman"/>
            <w:color w:val="000000" w:themeColor="text1"/>
          </w:rPr>
          <w:t>http://www</w:t>
        </w:r>
      </w:hyperlink>
      <w:r w:rsidRPr="00C86975">
        <w:rPr>
          <w:rStyle w:val="Hyperlink"/>
          <w:rFonts w:eastAsia="Times New Roman"/>
          <w:color w:val="000000" w:themeColor="text1"/>
        </w:rPr>
        <w:t>.</w:t>
      </w:r>
      <w:r w:rsidR="0017687F" w:rsidRPr="00C86975">
        <w:rPr>
          <w:rStyle w:val="Hyperlink"/>
          <w:rFonts w:eastAsia="Times New Roman"/>
          <w:color w:val="000000" w:themeColor="text1"/>
        </w:rPr>
        <w:t xml:space="preserve"> </w:t>
      </w:r>
      <w:r w:rsidRPr="00C86975">
        <w:rPr>
          <w:rStyle w:val="Hyperlink"/>
          <w:rFonts w:eastAsia="Times New Roman"/>
          <w:color w:val="000000" w:themeColor="text1"/>
        </w:rPr>
        <w:t>unwomen.</w:t>
      </w:r>
      <w:r w:rsidR="0017687F" w:rsidRPr="00C86975">
        <w:rPr>
          <w:rStyle w:val="Hyperlink"/>
          <w:rFonts w:eastAsia="Times New Roman"/>
          <w:color w:val="000000" w:themeColor="text1"/>
        </w:rPr>
        <w:t xml:space="preserve"> </w:t>
      </w:r>
      <w:r w:rsidRPr="00C86975">
        <w:rPr>
          <w:rStyle w:val="Hyperlink"/>
          <w:rFonts w:eastAsia="Times New Roman"/>
          <w:color w:val="000000" w:themeColor="text1"/>
        </w:rPr>
        <w:t>org/en/digital-library/publications/2017/3/the-power-of-procurement</w:t>
      </w:r>
      <w:r w:rsidRPr="00C86975">
        <w:rPr>
          <w:color w:val="000000" w:themeColor="text1"/>
          <w:lang w:val="en-GB"/>
        </w:rPr>
        <w:t xml:space="preserve">. Accessed 2018/06/27. </w:t>
      </w:r>
    </w:p>
    <w:p w:rsidR="004701DD" w:rsidRPr="00C86975" w:rsidRDefault="004701DD" w:rsidP="00C86975">
      <w:pPr>
        <w:spacing w:beforeLines="120" w:before="288" w:afterLines="120" w:after="288"/>
        <w:rPr>
          <w:color w:val="000000" w:themeColor="text1"/>
          <w:lang w:eastAsia="ko-KR"/>
        </w:rPr>
      </w:pPr>
      <w:r w:rsidRPr="00C86975">
        <w:rPr>
          <w:color w:val="000000" w:themeColor="text1"/>
          <w:lang w:eastAsia="ko-KR"/>
        </w:rPr>
        <w:t xml:space="preserve">City of Johannesburg </w:t>
      </w:r>
      <w:r w:rsidR="00700EE6" w:rsidRPr="00C86975">
        <w:rPr>
          <w:color w:val="000000" w:themeColor="text1"/>
        </w:rPr>
        <w:t>(Co</w:t>
      </w:r>
      <w:r w:rsidRPr="00C86975">
        <w:rPr>
          <w:color w:val="000000" w:themeColor="text1"/>
        </w:rPr>
        <w:t>J)</w:t>
      </w:r>
      <w:r w:rsidRPr="00C86975">
        <w:rPr>
          <w:color w:val="000000" w:themeColor="text1"/>
          <w:lang w:eastAsia="ko-KR"/>
        </w:rPr>
        <w:t xml:space="preserve"> (2018). </w:t>
      </w:r>
      <w:r w:rsidRPr="00C86975">
        <w:rPr>
          <w:i/>
          <w:color w:val="000000" w:themeColor="text1"/>
          <w:lang w:eastAsia="ko-KR"/>
        </w:rPr>
        <w:t xml:space="preserve">An Analysis of Key Trends and Indicators for the City of Johannesburg. </w:t>
      </w:r>
      <w:hyperlink r:id="rId9" w:history="1">
        <w:r w:rsidR="0017687F" w:rsidRPr="00C86975">
          <w:rPr>
            <w:rStyle w:val="Hyperlink"/>
            <w:color w:val="000000" w:themeColor="text1"/>
            <w:lang w:eastAsia="ko-KR"/>
          </w:rPr>
          <w:t>https://www.joburg.org.za/documents_/Documents/ Statistical%20Briefs/Issue%2013_%20An%20analysis%20of%20key%20trends%</w:t>
        </w:r>
        <w:r w:rsidR="0017687F" w:rsidRPr="00C86975">
          <w:rPr>
            <w:rStyle w:val="Hyperlink"/>
            <w:color w:val="000000" w:themeColor="text1"/>
            <w:lang w:eastAsia="ko-KR"/>
          </w:rPr>
          <w:lastRenderedPageBreak/>
          <w:t>20and%20Indicators%20For%20the%20City%20of%20Johannesburg.pdf</w:t>
        </w:r>
      </w:hyperlink>
      <w:r w:rsidRPr="00C86975">
        <w:rPr>
          <w:color w:val="000000" w:themeColor="text1"/>
        </w:rPr>
        <w:t>.</w:t>
      </w:r>
      <w:r w:rsidRPr="00C86975">
        <w:rPr>
          <w:i/>
          <w:color w:val="000000" w:themeColor="text1"/>
          <w:lang w:eastAsia="ko-KR"/>
        </w:rPr>
        <w:t xml:space="preserve"> </w:t>
      </w:r>
      <w:r w:rsidRPr="00C86975">
        <w:rPr>
          <w:color w:val="000000" w:themeColor="text1"/>
        </w:rPr>
        <w:t>Accessed</w:t>
      </w:r>
      <w:r w:rsidRPr="00C86975">
        <w:rPr>
          <w:color w:val="000000" w:themeColor="text1"/>
          <w:lang w:eastAsia="ko-KR"/>
        </w:rPr>
        <w:t xml:space="preserve"> 2018/06/28. </w:t>
      </w:r>
    </w:p>
    <w:p w:rsidR="007563CE" w:rsidRPr="00C86975" w:rsidRDefault="007563CE" w:rsidP="00C86975">
      <w:pPr>
        <w:spacing w:beforeLines="120" w:before="288" w:afterLines="120" w:after="288"/>
        <w:rPr>
          <w:i/>
          <w:color w:val="000000" w:themeColor="text1"/>
        </w:rPr>
      </w:pPr>
      <w:r w:rsidRPr="00C86975">
        <w:rPr>
          <w:color w:val="000000" w:themeColor="text1"/>
        </w:rPr>
        <w:t xml:space="preserve">City of Johannesburg (CoJ) (2017). </w:t>
      </w:r>
      <w:r w:rsidRPr="00C86975">
        <w:rPr>
          <w:i/>
          <w:color w:val="000000" w:themeColor="text1"/>
        </w:rPr>
        <w:t>Annual Report 2016/17.</w:t>
      </w:r>
    </w:p>
    <w:p w:rsidR="007563CE" w:rsidRPr="00C86975" w:rsidRDefault="007563CE" w:rsidP="00C86975">
      <w:pPr>
        <w:pStyle w:val="Default"/>
        <w:spacing w:beforeLines="120" w:before="288" w:afterLines="120" w:after="288"/>
        <w:rPr>
          <w:color w:val="000000" w:themeColor="text1"/>
          <w:lang w:val="en-GB"/>
        </w:rPr>
      </w:pPr>
      <w:r w:rsidRPr="00C86975">
        <w:rPr>
          <w:color w:val="000000" w:themeColor="text1"/>
          <w:lang w:val="en-GB"/>
        </w:rPr>
        <w:t xml:space="preserve">City of Johannesburg (CoJ) (2016). </w:t>
      </w:r>
      <w:r w:rsidRPr="00C86975">
        <w:rPr>
          <w:i/>
          <w:color w:val="000000" w:themeColor="text1"/>
          <w:lang w:val="en-GB"/>
        </w:rPr>
        <w:t xml:space="preserve">IDP 2016/21. </w:t>
      </w:r>
      <w:hyperlink r:id="rId10" w:history="1">
        <w:r w:rsidRPr="00C86975">
          <w:rPr>
            <w:rStyle w:val="Hyperlink"/>
            <w:color w:val="000000" w:themeColor="text1"/>
            <w:lang w:val="en-GB"/>
          </w:rPr>
          <w:t>http://www.joburg.org.za/ images/stories/2016/May/PDFs/ATT1JHIA.pdf</w:t>
        </w:r>
      </w:hyperlink>
      <w:r w:rsidRPr="00C86975">
        <w:rPr>
          <w:color w:val="000000" w:themeColor="text1"/>
          <w:lang w:val="en-GB"/>
        </w:rPr>
        <w:t xml:space="preserve">. Accessed 2018/06/22. </w:t>
      </w:r>
    </w:p>
    <w:p w:rsidR="007563CE" w:rsidRPr="00C86975" w:rsidRDefault="007563CE" w:rsidP="00C86975">
      <w:pPr>
        <w:pStyle w:val="Default"/>
        <w:spacing w:beforeLines="120" w:before="288" w:afterLines="120" w:after="288"/>
        <w:rPr>
          <w:color w:val="000000" w:themeColor="text1"/>
          <w:lang w:val="en-GB"/>
        </w:rPr>
      </w:pPr>
      <w:r w:rsidRPr="00C86975">
        <w:rPr>
          <w:color w:val="000000" w:themeColor="text1"/>
          <w:lang w:val="en-GB"/>
        </w:rPr>
        <w:t xml:space="preserve">City of Johannesburg (CoJ) (2013). </w:t>
      </w:r>
      <w:r w:rsidRPr="00C86975">
        <w:rPr>
          <w:i/>
          <w:color w:val="000000" w:themeColor="text1"/>
          <w:lang w:val="en-GB"/>
        </w:rPr>
        <w:t xml:space="preserve">Gender Policy Framework. </w:t>
      </w:r>
      <w:hyperlink w:history="1">
        <w:r w:rsidRPr="00C86975">
          <w:rPr>
            <w:rStyle w:val="Hyperlink"/>
            <w:color w:val="000000" w:themeColor="text1"/>
            <w:lang w:val="en-GB"/>
          </w:rPr>
          <w:t>http://www. joburg.org.za/images/stories/2013/April/annexurergender%20policy.pdf</w:t>
        </w:r>
      </w:hyperlink>
      <w:r w:rsidRPr="00C86975">
        <w:rPr>
          <w:color w:val="000000" w:themeColor="text1"/>
          <w:lang w:val="en-GB"/>
        </w:rPr>
        <w:t>. Accessed 2018/06/22.</w:t>
      </w:r>
    </w:p>
    <w:p w:rsidR="007563CE" w:rsidRPr="00C86975" w:rsidRDefault="007563CE" w:rsidP="00C86975">
      <w:pPr>
        <w:pStyle w:val="Default"/>
        <w:spacing w:beforeLines="120" w:before="288" w:afterLines="120" w:after="288"/>
        <w:rPr>
          <w:color w:val="000000" w:themeColor="text1"/>
          <w:lang w:val="en-GB"/>
        </w:rPr>
      </w:pPr>
      <w:r w:rsidRPr="00C86975">
        <w:rPr>
          <w:color w:val="000000" w:themeColor="text1"/>
          <w:lang w:val="en-GB"/>
        </w:rPr>
        <w:t xml:space="preserve"> City of Johannesburg (CoJ) (2009). </w:t>
      </w:r>
      <w:r w:rsidRPr="00C86975">
        <w:rPr>
          <w:i/>
          <w:color w:val="000000" w:themeColor="text1"/>
          <w:lang w:val="en-GB"/>
        </w:rPr>
        <w:t>Supply Chain Management Policy Adopted in Terms of Section III of the Municipal Finance Management Act, No. 56 of 2003</w:t>
      </w:r>
      <w:r w:rsidRPr="00C86975">
        <w:rPr>
          <w:color w:val="000000" w:themeColor="text1"/>
          <w:lang w:val="en-GB"/>
        </w:rPr>
        <w:t>. Johannesburg: COJ.</w:t>
      </w:r>
    </w:p>
    <w:p w:rsidR="007563CE" w:rsidRPr="00C86975" w:rsidRDefault="007563CE" w:rsidP="00C86975">
      <w:pPr>
        <w:pStyle w:val="Default"/>
        <w:spacing w:beforeLines="120" w:before="288" w:afterLines="120" w:after="288"/>
        <w:rPr>
          <w:color w:val="000000" w:themeColor="text1"/>
          <w:lang w:val="en-GB"/>
        </w:rPr>
      </w:pPr>
      <w:r w:rsidRPr="00C86975">
        <w:rPr>
          <w:color w:val="000000" w:themeColor="text1"/>
          <w:lang w:val="en-GB"/>
        </w:rPr>
        <w:t xml:space="preserve">City of Johannesburg (CoJ) (n.d.a). </w:t>
      </w:r>
      <w:r w:rsidRPr="00C86975">
        <w:rPr>
          <w:i/>
          <w:color w:val="000000" w:themeColor="text1"/>
          <w:lang w:val="en-GB"/>
        </w:rPr>
        <w:t>MBD 6.3: Reference Points Claim Form in terms of the Preferential Procurement Regulations 2001 Promotion of Small Business.</w:t>
      </w:r>
      <w:r w:rsidRPr="00C86975">
        <w:rPr>
          <w:color w:val="000000" w:themeColor="text1"/>
          <w:lang w:val="en-GB"/>
        </w:rPr>
        <w:t xml:space="preserve"> </w:t>
      </w:r>
      <w:hyperlink r:id="rId11" w:history="1">
        <w:r w:rsidRPr="00C86975">
          <w:rPr>
            <w:rStyle w:val="Hyperlink"/>
            <w:color w:val="000000" w:themeColor="text1"/>
            <w:lang w:val="en-GB"/>
          </w:rPr>
          <w:t>http://www.joburg-archive.co.za/2007/pdfs/tender_form_mbd6.3.pdf</w:t>
        </w:r>
      </w:hyperlink>
      <w:r w:rsidRPr="00C86975">
        <w:rPr>
          <w:rStyle w:val="Hyperlink"/>
          <w:color w:val="000000" w:themeColor="text1"/>
          <w:lang w:val="en-GB"/>
        </w:rPr>
        <w:t>.</w:t>
      </w:r>
      <w:r w:rsidRPr="00C86975">
        <w:rPr>
          <w:color w:val="000000" w:themeColor="text1"/>
          <w:lang w:val="en-GB"/>
        </w:rPr>
        <w:t xml:space="preserve"> Accessed 2018/06/28.</w:t>
      </w:r>
    </w:p>
    <w:p w:rsidR="007563CE" w:rsidRPr="00C86975" w:rsidRDefault="007563CE" w:rsidP="00C86975">
      <w:pPr>
        <w:pStyle w:val="Default"/>
        <w:spacing w:beforeLines="120" w:before="288" w:afterLines="120" w:after="288"/>
        <w:rPr>
          <w:color w:val="000000" w:themeColor="text1"/>
          <w:lang w:val="en-GB"/>
        </w:rPr>
      </w:pPr>
      <w:r w:rsidRPr="00C86975">
        <w:rPr>
          <w:color w:val="000000" w:themeColor="text1"/>
          <w:lang w:val="en-GB"/>
        </w:rPr>
        <w:t xml:space="preserve">City of Johannesburg (CoJ) (n.d.b). </w:t>
      </w:r>
      <w:r w:rsidRPr="00C86975">
        <w:rPr>
          <w:i/>
          <w:color w:val="000000" w:themeColor="text1"/>
          <w:lang w:val="en-GB"/>
        </w:rPr>
        <w:t>MBD 6.11: Reference Points Claim Form in Terms of the Preferential Procurement Regulations 2001 Promotion of Enterprises Located in a Specific Municipal Area.</w:t>
      </w:r>
      <w:r w:rsidRPr="00C86975">
        <w:rPr>
          <w:color w:val="000000" w:themeColor="text1"/>
          <w:lang w:val="en-GB"/>
        </w:rPr>
        <w:t xml:space="preserve"> </w:t>
      </w:r>
      <w:hyperlink r:id="rId12" w:history="1">
        <w:r w:rsidRPr="00C86975">
          <w:rPr>
            <w:rStyle w:val="Hyperlink"/>
            <w:color w:val="000000" w:themeColor="text1"/>
            <w:lang w:val="en-GB"/>
          </w:rPr>
          <w:t>http://www.joburg-archive.co.za/2007/pdfs/tender_form_mbd6.11.pdf</w:t>
        </w:r>
      </w:hyperlink>
      <w:r w:rsidRPr="00C86975">
        <w:rPr>
          <w:rStyle w:val="Hyperlink"/>
          <w:color w:val="000000" w:themeColor="text1"/>
          <w:u w:val="none"/>
          <w:lang w:val="en-GB"/>
        </w:rPr>
        <w:t>. Accessed 2018/06/28.</w:t>
      </w:r>
    </w:p>
    <w:p w:rsidR="00701836" w:rsidRPr="00C86975" w:rsidRDefault="00937F9C" w:rsidP="00C86975">
      <w:pPr>
        <w:spacing w:beforeLines="120" w:before="288" w:afterLines="120" w:after="288"/>
        <w:rPr>
          <w:b/>
          <w:color w:val="000000" w:themeColor="text1"/>
        </w:rPr>
      </w:pPr>
      <w:r w:rsidRPr="00C86975">
        <w:rPr>
          <w:color w:val="000000" w:themeColor="text1"/>
          <w:lang w:val="en-ZA"/>
        </w:rPr>
        <w:t>Commission for Gender Equality</w:t>
      </w:r>
      <w:r w:rsidR="00701836" w:rsidRPr="00C86975">
        <w:rPr>
          <w:color w:val="000000" w:themeColor="text1"/>
          <w:lang w:val="en-ZA"/>
        </w:rPr>
        <w:t xml:space="preserve"> </w:t>
      </w:r>
      <w:r w:rsidRPr="00C86975">
        <w:rPr>
          <w:color w:val="000000" w:themeColor="text1"/>
          <w:lang w:val="en-ZA"/>
        </w:rPr>
        <w:t>(</w:t>
      </w:r>
      <w:r w:rsidR="00701836" w:rsidRPr="00C86975">
        <w:rPr>
          <w:color w:val="000000" w:themeColor="text1"/>
          <w:lang w:val="en-ZA"/>
        </w:rPr>
        <w:t>2014</w:t>
      </w:r>
      <w:r w:rsidRPr="00C86975">
        <w:rPr>
          <w:color w:val="000000" w:themeColor="text1"/>
          <w:lang w:val="en-ZA"/>
        </w:rPr>
        <w:t>).</w:t>
      </w:r>
      <w:r w:rsidR="00C03C14" w:rsidRPr="00C86975">
        <w:rPr>
          <w:color w:val="000000" w:themeColor="text1"/>
          <w:lang w:val="en-ZA"/>
        </w:rPr>
        <w:t xml:space="preserve"> </w:t>
      </w:r>
      <w:r w:rsidR="00F263D8" w:rsidRPr="00C86975">
        <w:rPr>
          <w:bCs/>
          <w:i/>
          <w:color w:val="000000" w:themeColor="text1"/>
          <w:shd w:val="clear" w:color="auto" w:fill="FFFFFF"/>
        </w:rPr>
        <w:t>Report</w:t>
      </w:r>
      <w:r w:rsidR="00F263D8" w:rsidRPr="00C86975">
        <w:rPr>
          <w:i/>
          <w:color w:val="000000" w:themeColor="text1"/>
          <w:shd w:val="clear" w:color="auto" w:fill="FFFFFF"/>
        </w:rPr>
        <w:t> on the implementation of the Convention on the Elimination of all Forms of Discrimination against Women 2009-2014</w:t>
      </w:r>
      <w:r w:rsidR="00F263D8" w:rsidRPr="00C86975">
        <w:rPr>
          <w:color w:val="000000" w:themeColor="text1"/>
          <w:shd w:val="clear" w:color="auto" w:fill="FFFFFF"/>
        </w:rPr>
        <w:t>.</w:t>
      </w:r>
    </w:p>
    <w:p w:rsidR="00ED135C" w:rsidRPr="00C86975" w:rsidRDefault="00ED135C" w:rsidP="00ED135C">
      <w:pPr>
        <w:pStyle w:val="Default"/>
        <w:rPr>
          <w:color w:val="000000" w:themeColor="text1"/>
        </w:rPr>
      </w:pPr>
      <w:r w:rsidRPr="00C86975">
        <w:rPr>
          <w:color w:val="000000" w:themeColor="text1"/>
        </w:rPr>
        <w:t xml:space="preserve">Department of Trade and Industry (2007), </w:t>
      </w:r>
      <w:r w:rsidRPr="00C86975">
        <w:rPr>
          <w:i/>
          <w:color w:val="000000" w:themeColor="text1"/>
        </w:rPr>
        <w:t>BBBEE Codes of Good Practice</w:t>
      </w:r>
      <w:r w:rsidRPr="00C86975">
        <w:rPr>
          <w:color w:val="000000" w:themeColor="text1"/>
        </w:rPr>
        <w:t>, Pretoria: Government Gazette No. 29617.</w:t>
      </w:r>
    </w:p>
    <w:p w:rsidR="00021B78" w:rsidRPr="00C86975" w:rsidRDefault="00262E5A" w:rsidP="00C86975">
      <w:pPr>
        <w:pStyle w:val="TableofAuthorities"/>
        <w:spacing w:after="288"/>
        <w:rPr>
          <w:color w:val="000000" w:themeColor="text1"/>
        </w:rPr>
      </w:pPr>
      <w:r w:rsidRPr="00C86975">
        <w:rPr>
          <w:color w:val="000000" w:themeColor="text1"/>
        </w:rPr>
        <w:t xml:space="preserve">Fukuda-Parr, S. (2016). From the Millennium Development Goals to the Sustainable Development Goals: </w:t>
      </w:r>
      <w:r w:rsidR="004701DD" w:rsidRPr="00C86975">
        <w:rPr>
          <w:color w:val="000000" w:themeColor="text1"/>
        </w:rPr>
        <w:t>S</w:t>
      </w:r>
      <w:r w:rsidRPr="00C86975">
        <w:rPr>
          <w:color w:val="000000" w:themeColor="text1"/>
        </w:rPr>
        <w:t>hifts in purpose, concept, and politics of global goal setting for development</w:t>
      </w:r>
      <w:r w:rsidR="004701DD" w:rsidRPr="00C86975">
        <w:rPr>
          <w:color w:val="000000" w:themeColor="text1"/>
        </w:rPr>
        <w:t>.</w:t>
      </w:r>
      <w:r w:rsidRPr="00C86975">
        <w:rPr>
          <w:color w:val="000000" w:themeColor="text1"/>
        </w:rPr>
        <w:t xml:space="preserve"> </w:t>
      </w:r>
      <w:r w:rsidRPr="00C86975">
        <w:rPr>
          <w:i/>
          <w:color w:val="000000" w:themeColor="text1"/>
        </w:rPr>
        <w:t>Gender &amp; Development</w:t>
      </w:r>
      <w:r w:rsidRPr="00C86975">
        <w:rPr>
          <w:color w:val="000000" w:themeColor="text1"/>
        </w:rPr>
        <w:t xml:space="preserve">, 24(1), 43-52.  </w:t>
      </w:r>
    </w:p>
    <w:p w:rsidR="006276B4" w:rsidRPr="00C86975" w:rsidRDefault="006276B4" w:rsidP="006276B4">
      <w:pPr>
        <w:rPr>
          <w:color w:val="000000" w:themeColor="text1"/>
          <w:lang w:val="en-ZA" w:eastAsia="ko-KR"/>
        </w:rPr>
      </w:pPr>
      <w:r w:rsidRPr="00C86975">
        <w:rPr>
          <w:color w:val="000000" w:themeColor="text1"/>
        </w:rPr>
        <w:lastRenderedPageBreak/>
        <w:t>Kithatu-Kiwekete, A.K. &amp; Vyas-Doogapersad, S. (2017).</w:t>
      </w:r>
      <w:r w:rsidR="00A16E53" w:rsidRPr="00C86975">
        <w:rPr>
          <w:color w:val="000000" w:themeColor="text1"/>
        </w:rPr>
        <w:t xml:space="preserve"> Gender based e-procurement within the City of Johannesburg Metropolitan Municipality. </w:t>
      </w:r>
      <w:r w:rsidR="00A16E53" w:rsidRPr="00C86975">
        <w:rPr>
          <w:i/>
          <w:color w:val="000000" w:themeColor="text1"/>
        </w:rPr>
        <w:t>International Journal of E-Business and E-Government Studies.</w:t>
      </w:r>
      <w:r w:rsidR="00A16E53" w:rsidRPr="00C86975">
        <w:rPr>
          <w:color w:val="000000" w:themeColor="text1"/>
        </w:rPr>
        <w:t xml:space="preserve"> 9(1), 9-23.</w:t>
      </w:r>
    </w:p>
    <w:p w:rsidR="004701DD" w:rsidRPr="00C86975" w:rsidRDefault="000A5940" w:rsidP="00C86975">
      <w:pPr>
        <w:pStyle w:val="TableofAuthorities"/>
        <w:spacing w:after="288"/>
        <w:rPr>
          <w:color w:val="000000" w:themeColor="text1"/>
        </w:rPr>
      </w:pPr>
      <w:r w:rsidRPr="00C86975">
        <w:rPr>
          <w:color w:val="000000" w:themeColor="text1"/>
        </w:rPr>
        <w:t>Mannell, J. (2012). ‘It</w:t>
      </w:r>
      <w:r w:rsidR="0017687F" w:rsidRPr="00C86975">
        <w:rPr>
          <w:color w:val="000000" w:themeColor="text1"/>
        </w:rPr>
        <w:t>’</w:t>
      </w:r>
      <w:r w:rsidRPr="00C86975">
        <w:rPr>
          <w:color w:val="000000" w:themeColor="text1"/>
        </w:rPr>
        <w:t>s just been such a horrible experience.’ Perceptions of gender mainstreaming by practitioners in South African organisations</w:t>
      </w:r>
      <w:r w:rsidR="004701DD" w:rsidRPr="00C86975">
        <w:rPr>
          <w:color w:val="000000" w:themeColor="text1"/>
        </w:rPr>
        <w:t>.</w:t>
      </w:r>
      <w:r w:rsidRPr="00C86975">
        <w:rPr>
          <w:color w:val="000000" w:themeColor="text1"/>
        </w:rPr>
        <w:t xml:space="preserve"> </w:t>
      </w:r>
      <w:r w:rsidRPr="00C86975">
        <w:rPr>
          <w:i/>
          <w:color w:val="000000" w:themeColor="text1"/>
        </w:rPr>
        <w:t>Gender &amp; Development</w:t>
      </w:r>
      <w:r w:rsidRPr="00C86975">
        <w:rPr>
          <w:color w:val="000000" w:themeColor="text1"/>
        </w:rPr>
        <w:t>, 20(3), 423-434</w:t>
      </w:r>
      <w:r w:rsidR="004701DD" w:rsidRPr="00C86975">
        <w:rPr>
          <w:color w:val="000000" w:themeColor="text1"/>
        </w:rPr>
        <w:t>.</w:t>
      </w:r>
    </w:p>
    <w:p w:rsidR="000A5940" w:rsidRPr="00C86975" w:rsidRDefault="00DA0191" w:rsidP="00C86975">
      <w:pPr>
        <w:pStyle w:val="TableofAuthorities"/>
        <w:spacing w:after="288"/>
        <w:rPr>
          <w:i/>
          <w:color w:val="000000" w:themeColor="text1"/>
        </w:rPr>
      </w:pPr>
      <w:r w:rsidRPr="00C86975">
        <w:rPr>
          <w:rStyle w:val="Hyperlink"/>
          <w:color w:val="000000" w:themeColor="text1"/>
          <w:u w:val="none"/>
          <w:lang w:val="en-GB"/>
        </w:rPr>
        <w:t xml:space="preserve">National </w:t>
      </w:r>
      <w:r w:rsidR="004701DD" w:rsidRPr="00C86975">
        <w:rPr>
          <w:rStyle w:val="Hyperlink"/>
          <w:color w:val="000000" w:themeColor="text1"/>
          <w:u w:val="none"/>
          <w:lang w:val="en-GB"/>
        </w:rPr>
        <w:t>T</w:t>
      </w:r>
      <w:r w:rsidRPr="00C86975">
        <w:rPr>
          <w:rStyle w:val="Hyperlink"/>
          <w:color w:val="000000" w:themeColor="text1"/>
          <w:u w:val="none"/>
          <w:lang w:val="en-GB"/>
        </w:rPr>
        <w:t xml:space="preserve">reasury. (2007). </w:t>
      </w:r>
      <w:r w:rsidRPr="00C86975">
        <w:rPr>
          <w:rStyle w:val="Hyperlink"/>
          <w:i/>
          <w:color w:val="000000" w:themeColor="text1"/>
          <w:u w:val="none"/>
          <w:lang w:val="en-GB"/>
        </w:rPr>
        <w:t xml:space="preserve">Government Procurement: General </w:t>
      </w:r>
      <w:r w:rsidR="004701DD" w:rsidRPr="00C86975">
        <w:rPr>
          <w:rStyle w:val="Hyperlink"/>
          <w:i/>
          <w:color w:val="000000" w:themeColor="text1"/>
          <w:u w:val="none"/>
          <w:lang w:val="en-GB"/>
        </w:rPr>
        <w:t>C</w:t>
      </w:r>
      <w:r w:rsidRPr="00C86975">
        <w:rPr>
          <w:rStyle w:val="Hyperlink"/>
          <w:i/>
          <w:color w:val="000000" w:themeColor="text1"/>
          <w:u w:val="none"/>
          <w:lang w:val="en-GB"/>
        </w:rPr>
        <w:t xml:space="preserve">onditions of </w:t>
      </w:r>
      <w:r w:rsidR="004701DD" w:rsidRPr="00C86975">
        <w:rPr>
          <w:rStyle w:val="Hyperlink"/>
          <w:i/>
          <w:color w:val="000000" w:themeColor="text1"/>
          <w:u w:val="none"/>
          <w:lang w:val="en-GB"/>
        </w:rPr>
        <w:t>C</w:t>
      </w:r>
      <w:r w:rsidRPr="00C86975">
        <w:rPr>
          <w:rStyle w:val="Hyperlink"/>
          <w:i/>
          <w:color w:val="000000" w:themeColor="text1"/>
          <w:u w:val="none"/>
          <w:lang w:val="en-GB"/>
        </w:rPr>
        <w:t>ontract.</w:t>
      </w:r>
      <w:r w:rsidR="000A5940" w:rsidRPr="00C86975">
        <w:rPr>
          <w:i/>
          <w:color w:val="000000" w:themeColor="text1"/>
        </w:rPr>
        <w:t xml:space="preserve"> </w:t>
      </w:r>
      <w:hyperlink r:id="rId13" w:history="1">
        <w:r w:rsidR="0017687F" w:rsidRPr="00C86975">
          <w:rPr>
            <w:rStyle w:val="Hyperlink"/>
            <w:color w:val="000000" w:themeColor="text1"/>
            <w:lang w:val="en-GB"/>
          </w:rPr>
          <w:t>http://www.treasury.gov.za/divisions/ocpo/sc/GeneralConditions/ General%20Conditions%20of%20Contract.pdf</w:t>
        </w:r>
      </w:hyperlink>
      <w:r w:rsidR="004701DD" w:rsidRPr="00C86975">
        <w:rPr>
          <w:i/>
          <w:color w:val="000000" w:themeColor="text1"/>
        </w:rPr>
        <w:t xml:space="preserve">. </w:t>
      </w:r>
      <w:r w:rsidR="004701DD" w:rsidRPr="00C86975">
        <w:rPr>
          <w:color w:val="000000" w:themeColor="text1"/>
        </w:rPr>
        <w:t>Accessed 2018/06/27.</w:t>
      </w:r>
    </w:p>
    <w:p w:rsidR="00BA05A6" w:rsidRPr="00C86975" w:rsidRDefault="00BA05A6" w:rsidP="00C86975">
      <w:pPr>
        <w:spacing w:beforeLines="120" w:before="288" w:afterLines="120" w:after="288"/>
        <w:rPr>
          <w:color w:val="000000" w:themeColor="text1"/>
        </w:rPr>
      </w:pPr>
      <w:r w:rsidRPr="00C86975">
        <w:rPr>
          <w:color w:val="000000" w:themeColor="text1"/>
          <w:shd w:val="clear" w:color="auto" w:fill="FFFFFF"/>
        </w:rPr>
        <w:t>Nyeck, S.</w:t>
      </w:r>
      <w:r w:rsidR="00093EF6" w:rsidRPr="00C86975">
        <w:rPr>
          <w:color w:val="000000" w:themeColor="text1"/>
          <w:shd w:val="clear" w:color="auto" w:fill="FFFFFF"/>
        </w:rPr>
        <w:t xml:space="preserve">N. (2015). </w:t>
      </w:r>
      <w:r w:rsidRPr="00C86975">
        <w:rPr>
          <w:color w:val="000000" w:themeColor="text1"/>
          <w:shd w:val="clear" w:color="auto" w:fill="FFFFFF"/>
        </w:rPr>
        <w:t>(Out)Bidding Women: Public Procurement Reform Diffusion and Gender Equality in Africa.</w:t>
      </w:r>
      <w:r w:rsidR="00402CB3" w:rsidRPr="00C86975">
        <w:rPr>
          <w:color w:val="000000" w:themeColor="text1"/>
          <w:shd w:val="clear" w:color="auto" w:fill="FFFFFF"/>
        </w:rPr>
        <w:t> </w:t>
      </w:r>
      <w:r w:rsidR="00402CB3" w:rsidRPr="00C86975">
        <w:rPr>
          <w:iCs/>
          <w:color w:val="000000" w:themeColor="text1"/>
        </w:rPr>
        <w:t>Women and Government Outsourcing in Transnational Perspectives</w:t>
      </w:r>
      <w:r w:rsidR="00402CB3" w:rsidRPr="00C86975">
        <w:rPr>
          <w:color w:val="000000" w:themeColor="text1"/>
          <w:shd w:val="clear" w:color="auto" w:fill="FFFFFF"/>
        </w:rPr>
        <w:t>. Special Issue of </w:t>
      </w:r>
      <w:r w:rsidR="00402CB3" w:rsidRPr="00C86975">
        <w:rPr>
          <w:i/>
          <w:iCs/>
          <w:color w:val="000000" w:themeColor="text1"/>
        </w:rPr>
        <w:t>Wagadu: A Transnational Journal of Gender and Women’s Issues.</w:t>
      </w:r>
      <w:r w:rsidR="00402CB3" w:rsidRPr="00C86975">
        <w:rPr>
          <w:color w:val="000000" w:themeColor="text1"/>
          <w:shd w:val="clear" w:color="auto" w:fill="FFFFFF"/>
        </w:rPr>
        <w:t> 14.</w:t>
      </w:r>
      <w:r w:rsidRPr="00C86975">
        <w:rPr>
          <w:color w:val="000000" w:themeColor="text1"/>
          <w:shd w:val="clear" w:color="auto" w:fill="FFFFFF"/>
        </w:rPr>
        <w:t xml:space="preserve"> </w:t>
      </w:r>
      <w:hyperlink r:id="rId14" w:history="1">
        <w:r w:rsidR="0017687F" w:rsidRPr="00C86975">
          <w:rPr>
            <w:rStyle w:val="Hyperlink"/>
            <w:rFonts w:eastAsia="Batang"/>
            <w:color w:val="000000" w:themeColor="text1"/>
            <w:lang w:eastAsia="ko-KR"/>
          </w:rPr>
          <w:t>https://papers.ssrn.com/sol3/papers.cfm</w:t>
        </w:r>
      </w:hyperlink>
      <w:r w:rsidR="004701DD" w:rsidRPr="00C86975">
        <w:rPr>
          <w:rStyle w:val="Hyperlink"/>
          <w:rFonts w:eastAsia="Batang"/>
          <w:color w:val="000000" w:themeColor="text1"/>
          <w:lang w:eastAsia="ko-KR"/>
        </w:rPr>
        <w:t>?</w:t>
      </w:r>
      <w:r w:rsidR="0017687F" w:rsidRPr="00C86975">
        <w:rPr>
          <w:rStyle w:val="Hyperlink"/>
          <w:rFonts w:eastAsia="Batang"/>
          <w:color w:val="000000" w:themeColor="text1"/>
          <w:lang w:eastAsia="ko-KR"/>
        </w:rPr>
        <w:t xml:space="preserve"> </w:t>
      </w:r>
      <w:r w:rsidR="004701DD" w:rsidRPr="00C86975">
        <w:rPr>
          <w:rStyle w:val="Hyperlink"/>
          <w:rFonts w:eastAsia="Batang"/>
          <w:color w:val="000000" w:themeColor="text1"/>
          <w:lang w:eastAsia="ko-KR"/>
        </w:rPr>
        <w:t>abstract_id=2736031</w:t>
      </w:r>
      <w:r w:rsidR="00093EF6" w:rsidRPr="00C86975">
        <w:rPr>
          <w:color w:val="000000" w:themeColor="text1"/>
        </w:rPr>
        <w:t>. Accessed 2018/06/28</w:t>
      </w:r>
      <w:r w:rsidR="0017687F" w:rsidRPr="00C86975">
        <w:rPr>
          <w:color w:val="000000" w:themeColor="text1"/>
        </w:rPr>
        <w:t>.</w:t>
      </w:r>
      <w:r w:rsidR="00093EF6" w:rsidRPr="00C86975">
        <w:rPr>
          <w:color w:val="000000" w:themeColor="text1"/>
        </w:rPr>
        <w:t xml:space="preserve"> </w:t>
      </w:r>
    </w:p>
    <w:p w:rsidR="005B1176" w:rsidRPr="00C86975" w:rsidRDefault="005B1176" w:rsidP="00C86975">
      <w:pPr>
        <w:spacing w:beforeLines="120" w:before="288" w:afterLines="120" w:after="288"/>
        <w:rPr>
          <w:color w:val="000000" w:themeColor="text1"/>
        </w:rPr>
      </w:pPr>
      <w:r w:rsidRPr="00C86975">
        <w:rPr>
          <w:color w:val="000000" w:themeColor="text1"/>
        </w:rPr>
        <w:t>Patil, K. (2017). Public procurement policy for small and medium enterprises in developing countries: Evidence from India</w:t>
      </w:r>
      <w:r w:rsidR="004701DD" w:rsidRPr="00C86975">
        <w:rPr>
          <w:color w:val="000000" w:themeColor="text1"/>
        </w:rPr>
        <w:t>.</w:t>
      </w:r>
      <w:r w:rsidRPr="00C86975">
        <w:rPr>
          <w:color w:val="000000" w:themeColor="text1"/>
        </w:rPr>
        <w:t xml:space="preserve"> </w:t>
      </w:r>
      <w:r w:rsidRPr="00C86975">
        <w:rPr>
          <w:i/>
          <w:color w:val="000000" w:themeColor="text1"/>
        </w:rPr>
        <w:t>International Journal of Public Sector Management,</w:t>
      </w:r>
      <w:r w:rsidRPr="00C86975">
        <w:rPr>
          <w:color w:val="000000" w:themeColor="text1"/>
        </w:rPr>
        <w:t xml:space="preserve"> 30(4), 391-410.  </w:t>
      </w:r>
    </w:p>
    <w:p w:rsidR="00C471E5" w:rsidRPr="00C86975" w:rsidRDefault="00C471E5" w:rsidP="00C86975">
      <w:pPr>
        <w:spacing w:beforeLines="120" w:before="288" w:afterLines="120" w:after="288"/>
        <w:rPr>
          <w:color w:val="000000" w:themeColor="text1"/>
        </w:rPr>
      </w:pPr>
      <w:r w:rsidRPr="00C86975">
        <w:rPr>
          <w:color w:val="000000" w:themeColor="text1"/>
        </w:rPr>
        <w:t>Razavi, S. (2016)</w:t>
      </w:r>
      <w:r w:rsidR="004701DD" w:rsidRPr="00C86975">
        <w:rPr>
          <w:color w:val="000000" w:themeColor="text1"/>
        </w:rPr>
        <w:t>.</w:t>
      </w:r>
      <w:r w:rsidRPr="00C86975">
        <w:rPr>
          <w:color w:val="000000" w:themeColor="text1"/>
        </w:rPr>
        <w:t xml:space="preserve"> The 2030 Agenda: </w:t>
      </w:r>
      <w:r w:rsidR="004701DD" w:rsidRPr="00C86975">
        <w:rPr>
          <w:color w:val="000000" w:themeColor="text1"/>
        </w:rPr>
        <w:t>C</w:t>
      </w:r>
      <w:r w:rsidRPr="00C86975">
        <w:rPr>
          <w:color w:val="000000" w:themeColor="text1"/>
        </w:rPr>
        <w:t>hallenges of implementation to attain gender equality and women</w:t>
      </w:r>
      <w:r w:rsidR="0017687F" w:rsidRPr="00C86975">
        <w:rPr>
          <w:color w:val="000000" w:themeColor="text1"/>
        </w:rPr>
        <w:t>’</w:t>
      </w:r>
      <w:r w:rsidRPr="00C86975">
        <w:rPr>
          <w:color w:val="000000" w:themeColor="text1"/>
        </w:rPr>
        <w:t>s rights</w:t>
      </w:r>
      <w:r w:rsidR="004701DD" w:rsidRPr="00C86975">
        <w:rPr>
          <w:color w:val="000000" w:themeColor="text1"/>
        </w:rPr>
        <w:t>.</w:t>
      </w:r>
      <w:r w:rsidRPr="00C86975">
        <w:rPr>
          <w:color w:val="000000" w:themeColor="text1"/>
        </w:rPr>
        <w:t xml:space="preserve"> </w:t>
      </w:r>
      <w:r w:rsidRPr="00C86975">
        <w:rPr>
          <w:i/>
          <w:color w:val="000000" w:themeColor="text1"/>
        </w:rPr>
        <w:t>Gender &amp; Development</w:t>
      </w:r>
      <w:r w:rsidRPr="00C86975">
        <w:rPr>
          <w:color w:val="000000" w:themeColor="text1"/>
        </w:rPr>
        <w:t xml:space="preserve">, 24(1), 25-41. </w:t>
      </w:r>
    </w:p>
    <w:p w:rsidR="00912756" w:rsidRPr="00C86975" w:rsidRDefault="00912756" w:rsidP="00C86975">
      <w:pPr>
        <w:pStyle w:val="Default"/>
        <w:spacing w:beforeLines="120" w:before="288" w:afterLines="120" w:after="288"/>
        <w:rPr>
          <w:color w:val="000000" w:themeColor="text1"/>
          <w:lang w:val="en-GB"/>
        </w:rPr>
      </w:pPr>
      <w:r w:rsidRPr="00C86975">
        <w:rPr>
          <w:color w:val="000000" w:themeColor="text1"/>
          <w:lang w:val="en-GB"/>
        </w:rPr>
        <w:t>Republic of South Africa</w:t>
      </w:r>
      <w:r w:rsidR="004701DD" w:rsidRPr="00C86975">
        <w:rPr>
          <w:color w:val="000000" w:themeColor="text1"/>
          <w:lang w:val="en-GB"/>
        </w:rPr>
        <w:t xml:space="preserve"> (RSA)</w:t>
      </w:r>
      <w:r w:rsidRPr="00C86975">
        <w:rPr>
          <w:color w:val="000000" w:themeColor="text1"/>
          <w:lang w:val="en-GB"/>
        </w:rPr>
        <w:t xml:space="preserve"> (1996</w:t>
      </w:r>
      <w:r w:rsidR="004701DD" w:rsidRPr="00C86975">
        <w:rPr>
          <w:color w:val="000000" w:themeColor="text1"/>
          <w:lang w:val="en-GB"/>
        </w:rPr>
        <w:t xml:space="preserve">). </w:t>
      </w:r>
      <w:r w:rsidRPr="00C86975">
        <w:rPr>
          <w:i/>
          <w:color w:val="000000" w:themeColor="text1"/>
          <w:lang w:val="en-GB"/>
        </w:rPr>
        <w:t xml:space="preserve">Constitution of the Republic of South Africa, </w:t>
      </w:r>
      <w:r w:rsidR="004701DD" w:rsidRPr="00C86975">
        <w:rPr>
          <w:i/>
          <w:color w:val="000000" w:themeColor="text1"/>
          <w:lang w:val="en-GB"/>
        </w:rPr>
        <w:t>No. 108 of 1996</w:t>
      </w:r>
      <w:r w:rsidR="004701DD" w:rsidRPr="00C86975">
        <w:rPr>
          <w:color w:val="000000" w:themeColor="text1"/>
          <w:lang w:val="en-GB"/>
        </w:rPr>
        <w:t xml:space="preserve">. </w:t>
      </w:r>
      <w:r w:rsidRPr="00C86975">
        <w:rPr>
          <w:color w:val="000000" w:themeColor="text1"/>
          <w:lang w:val="en-GB"/>
        </w:rPr>
        <w:t>Pretoria: Government Printer.</w:t>
      </w:r>
    </w:p>
    <w:p w:rsidR="00912756" w:rsidRPr="00C86975" w:rsidRDefault="00912756" w:rsidP="00C86975">
      <w:pPr>
        <w:pStyle w:val="Default"/>
        <w:spacing w:beforeLines="120" w:before="288" w:afterLines="120" w:after="288"/>
        <w:rPr>
          <w:color w:val="000000" w:themeColor="text1"/>
          <w:lang w:val="en-GB"/>
        </w:rPr>
      </w:pPr>
      <w:r w:rsidRPr="00C86975">
        <w:rPr>
          <w:color w:val="000000" w:themeColor="text1"/>
          <w:lang w:val="en-GB"/>
        </w:rPr>
        <w:t>Republic of South Africa</w:t>
      </w:r>
      <w:r w:rsidR="004701DD" w:rsidRPr="00C86975">
        <w:rPr>
          <w:color w:val="000000" w:themeColor="text1"/>
          <w:lang w:val="en-GB"/>
        </w:rPr>
        <w:t xml:space="preserve"> (RSA)</w:t>
      </w:r>
      <w:r w:rsidRPr="00C86975">
        <w:rPr>
          <w:color w:val="000000" w:themeColor="text1"/>
          <w:lang w:val="en-GB"/>
        </w:rPr>
        <w:t xml:space="preserve"> (2000)</w:t>
      </w:r>
      <w:r w:rsidR="004701DD" w:rsidRPr="00C86975">
        <w:rPr>
          <w:color w:val="000000" w:themeColor="text1"/>
          <w:lang w:val="en-GB"/>
        </w:rPr>
        <w:t>.</w:t>
      </w:r>
      <w:r w:rsidRPr="00C86975">
        <w:rPr>
          <w:color w:val="000000" w:themeColor="text1"/>
          <w:lang w:val="en-GB"/>
        </w:rPr>
        <w:t xml:space="preserve"> </w:t>
      </w:r>
      <w:r w:rsidRPr="00C86975">
        <w:rPr>
          <w:i/>
          <w:color w:val="000000" w:themeColor="text1"/>
          <w:lang w:val="en-GB"/>
        </w:rPr>
        <w:t>Preferential Procurement Policy Framework Act</w:t>
      </w:r>
      <w:r w:rsidR="004701DD" w:rsidRPr="00C86975">
        <w:rPr>
          <w:i/>
          <w:color w:val="000000" w:themeColor="text1"/>
          <w:lang w:val="en-GB"/>
        </w:rPr>
        <w:t>,</w:t>
      </w:r>
      <w:r w:rsidRPr="00C86975">
        <w:rPr>
          <w:i/>
          <w:color w:val="000000" w:themeColor="text1"/>
          <w:lang w:val="en-GB"/>
        </w:rPr>
        <w:t xml:space="preserve"> No. 5 of 2000</w:t>
      </w:r>
      <w:r w:rsidR="004701DD" w:rsidRPr="00C86975">
        <w:rPr>
          <w:color w:val="000000" w:themeColor="text1"/>
          <w:lang w:val="en-GB"/>
        </w:rPr>
        <w:t>.</w:t>
      </w:r>
      <w:r w:rsidRPr="00C86975">
        <w:rPr>
          <w:color w:val="000000" w:themeColor="text1"/>
          <w:lang w:val="en-GB"/>
        </w:rPr>
        <w:t xml:space="preserve"> Pretoria: Government Printer.</w:t>
      </w:r>
    </w:p>
    <w:p w:rsidR="00132CB0" w:rsidRPr="00C86975" w:rsidRDefault="00912756" w:rsidP="00C86975">
      <w:pPr>
        <w:pStyle w:val="Default"/>
        <w:spacing w:beforeLines="120" w:before="288" w:afterLines="120" w:after="288"/>
        <w:rPr>
          <w:color w:val="000000" w:themeColor="text1"/>
          <w:lang w:val="en-GB"/>
        </w:rPr>
      </w:pPr>
      <w:r w:rsidRPr="00C86975">
        <w:rPr>
          <w:color w:val="000000" w:themeColor="text1"/>
          <w:lang w:val="en-GB"/>
        </w:rPr>
        <w:t>Republic of South Africa</w:t>
      </w:r>
      <w:r w:rsidR="004701DD" w:rsidRPr="00C86975">
        <w:rPr>
          <w:color w:val="000000" w:themeColor="text1"/>
          <w:lang w:val="en-GB"/>
        </w:rPr>
        <w:t xml:space="preserve"> (RSA)</w:t>
      </w:r>
      <w:r w:rsidRPr="00C86975">
        <w:rPr>
          <w:color w:val="000000" w:themeColor="text1"/>
          <w:lang w:val="en-GB"/>
        </w:rPr>
        <w:t xml:space="preserve"> (2003a)</w:t>
      </w:r>
      <w:r w:rsidR="004701DD" w:rsidRPr="00C86975">
        <w:rPr>
          <w:color w:val="000000" w:themeColor="text1"/>
          <w:lang w:val="en-GB"/>
        </w:rPr>
        <w:t>.</w:t>
      </w:r>
      <w:r w:rsidRPr="00C86975">
        <w:rPr>
          <w:color w:val="000000" w:themeColor="text1"/>
          <w:lang w:val="en-GB"/>
        </w:rPr>
        <w:t xml:space="preserve"> </w:t>
      </w:r>
      <w:r w:rsidRPr="00C86975">
        <w:rPr>
          <w:i/>
          <w:color w:val="000000" w:themeColor="text1"/>
          <w:lang w:val="en-GB"/>
        </w:rPr>
        <w:t>Broad</w:t>
      </w:r>
      <w:r w:rsidR="004701DD" w:rsidRPr="00C86975">
        <w:rPr>
          <w:i/>
          <w:color w:val="000000" w:themeColor="text1"/>
          <w:lang w:val="en-GB"/>
        </w:rPr>
        <w:t>-b</w:t>
      </w:r>
      <w:r w:rsidRPr="00C86975">
        <w:rPr>
          <w:i/>
          <w:color w:val="000000" w:themeColor="text1"/>
          <w:lang w:val="en-GB"/>
        </w:rPr>
        <w:t>ased Black Economic Empowerment Act</w:t>
      </w:r>
      <w:r w:rsidR="004701DD" w:rsidRPr="00C86975">
        <w:rPr>
          <w:i/>
          <w:color w:val="000000" w:themeColor="text1"/>
          <w:lang w:val="en-GB"/>
        </w:rPr>
        <w:t>,</w:t>
      </w:r>
      <w:r w:rsidRPr="00C86975">
        <w:rPr>
          <w:i/>
          <w:color w:val="000000" w:themeColor="text1"/>
          <w:lang w:val="en-GB"/>
        </w:rPr>
        <w:t xml:space="preserve"> No. 53 of 2003</w:t>
      </w:r>
      <w:r w:rsidR="004701DD" w:rsidRPr="00C86975">
        <w:rPr>
          <w:color w:val="000000" w:themeColor="text1"/>
          <w:lang w:val="en-GB"/>
        </w:rPr>
        <w:t>.</w:t>
      </w:r>
      <w:r w:rsidRPr="00C86975">
        <w:rPr>
          <w:color w:val="000000" w:themeColor="text1"/>
          <w:lang w:val="en-GB"/>
        </w:rPr>
        <w:t xml:space="preserve"> Pretoria: Government Printer.</w:t>
      </w:r>
    </w:p>
    <w:p w:rsidR="00912756" w:rsidRPr="00C86975" w:rsidRDefault="00912756" w:rsidP="00C86975">
      <w:pPr>
        <w:pStyle w:val="Default"/>
        <w:spacing w:beforeLines="120" w:before="288" w:afterLines="120" w:after="288"/>
        <w:rPr>
          <w:color w:val="000000" w:themeColor="text1"/>
          <w:lang w:val="en-GB"/>
        </w:rPr>
      </w:pPr>
      <w:r w:rsidRPr="00C86975">
        <w:rPr>
          <w:color w:val="000000" w:themeColor="text1"/>
          <w:lang w:val="en-GB"/>
        </w:rPr>
        <w:t xml:space="preserve">Republic of South Africa </w:t>
      </w:r>
      <w:r w:rsidR="004701DD" w:rsidRPr="00C86975">
        <w:rPr>
          <w:color w:val="000000" w:themeColor="text1"/>
          <w:lang w:val="en-GB"/>
        </w:rPr>
        <w:t xml:space="preserve">(RSA) </w:t>
      </w:r>
      <w:r w:rsidRPr="00C86975">
        <w:rPr>
          <w:color w:val="000000" w:themeColor="text1"/>
          <w:lang w:val="en-GB"/>
        </w:rPr>
        <w:t>(2003b)</w:t>
      </w:r>
      <w:r w:rsidR="004701DD" w:rsidRPr="00C86975">
        <w:rPr>
          <w:color w:val="000000" w:themeColor="text1"/>
          <w:lang w:val="en-GB"/>
        </w:rPr>
        <w:t>.</w:t>
      </w:r>
      <w:r w:rsidRPr="00C86975">
        <w:rPr>
          <w:color w:val="000000" w:themeColor="text1"/>
          <w:lang w:val="en-GB"/>
        </w:rPr>
        <w:t xml:space="preserve"> </w:t>
      </w:r>
      <w:r w:rsidRPr="00C86975">
        <w:rPr>
          <w:i/>
          <w:color w:val="000000" w:themeColor="text1"/>
          <w:lang w:val="en-GB"/>
        </w:rPr>
        <w:t>Local Government: Municipal Finance Management Act</w:t>
      </w:r>
      <w:r w:rsidR="004701DD" w:rsidRPr="00C86975">
        <w:rPr>
          <w:i/>
          <w:color w:val="000000" w:themeColor="text1"/>
          <w:lang w:val="en-GB"/>
        </w:rPr>
        <w:t>,</w:t>
      </w:r>
      <w:r w:rsidRPr="00C86975">
        <w:rPr>
          <w:i/>
          <w:color w:val="000000" w:themeColor="text1"/>
          <w:lang w:val="en-GB"/>
        </w:rPr>
        <w:t xml:space="preserve"> No. 53 of 2003</w:t>
      </w:r>
      <w:r w:rsidR="004701DD" w:rsidRPr="00C86975">
        <w:rPr>
          <w:color w:val="000000" w:themeColor="text1"/>
          <w:lang w:val="en-GB"/>
        </w:rPr>
        <w:t>.</w:t>
      </w:r>
      <w:r w:rsidRPr="00C86975">
        <w:rPr>
          <w:color w:val="000000" w:themeColor="text1"/>
          <w:lang w:val="en-GB"/>
        </w:rPr>
        <w:t xml:space="preserve"> Pretoria: Government Printer.</w:t>
      </w:r>
    </w:p>
    <w:p w:rsidR="006563BF" w:rsidRPr="00C86975" w:rsidRDefault="006563BF" w:rsidP="006563BF">
      <w:pPr>
        <w:rPr>
          <w:bCs/>
          <w:color w:val="000000" w:themeColor="text1"/>
          <w:bdr w:val="none" w:sz="0" w:space="0" w:color="auto" w:frame="1"/>
        </w:rPr>
      </w:pPr>
      <w:r w:rsidRPr="00C86975">
        <w:rPr>
          <w:bCs/>
          <w:color w:val="000000" w:themeColor="text1"/>
          <w:bdr w:val="none" w:sz="0" w:space="0" w:color="auto" w:frame="1"/>
        </w:rPr>
        <w:lastRenderedPageBreak/>
        <w:t>Tshimolola, G</w:t>
      </w:r>
      <w:r w:rsidR="00AE7AF1" w:rsidRPr="00C86975">
        <w:rPr>
          <w:bCs/>
          <w:color w:val="000000" w:themeColor="text1"/>
          <w:bdr w:val="none" w:sz="0" w:space="0" w:color="auto" w:frame="1"/>
        </w:rPr>
        <w:t>.</w:t>
      </w:r>
      <w:r w:rsidRPr="00C86975">
        <w:rPr>
          <w:bCs/>
          <w:color w:val="000000" w:themeColor="text1"/>
          <w:bdr w:val="none" w:sz="0" w:space="0" w:color="auto" w:frame="1"/>
        </w:rPr>
        <w:t xml:space="preserve"> (2016)</w:t>
      </w:r>
      <w:r w:rsidR="00186986" w:rsidRPr="00C86975">
        <w:rPr>
          <w:bCs/>
          <w:color w:val="000000" w:themeColor="text1"/>
          <w:bdr w:val="none" w:sz="0" w:space="0" w:color="auto" w:frame="1"/>
        </w:rPr>
        <w:t>.</w:t>
      </w:r>
      <w:r w:rsidRPr="00C86975">
        <w:rPr>
          <w:bCs/>
          <w:color w:val="000000" w:themeColor="text1"/>
          <w:bdr w:val="none" w:sz="0" w:space="0" w:color="auto" w:frame="1"/>
        </w:rPr>
        <w:t xml:space="preserve"> Modernising the Government’s Procurement System Needs to Address Service Delivery. </w:t>
      </w:r>
      <w:r w:rsidRPr="00C86975">
        <w:rPr>
          <w:bCs/>
          <w:i/>
          <w:color w:val="000000" w:themeColor="text1"/>
          <w:bdr w:val="none" w:sz="0" w:space="0" w:color="auto" w:frame="1"/>
        </w:rPr>
        <w:t>Mail and Guardian</w:t>
      </w:r>
      <w:r w:rsidRPr="00C86975">
        <w:rPr>
          <w:bCs/>
          <w:color w:val="000000" w:themeColor="text1"/>
          <w:bdr w:val="none" w:sz="0" w:space="0" w:color="auto" w:frame="1"/>
        </w:rPr>
        <w:t xml:space="preserve">. 11 July 2016.  </w:t>
      </w:r>
      <w:hyperlink r:id="rId15" w:history="1">
        <w:r w:rsidRPr="00C86975">
          <w:rPr>
            <w:rStyle w:val="Hyperlink"/>
            <w:bCs/>
            <w:color w:val="000000" w:themeColor="text1"/>
            <w:bdr w:val="none" w:sz="0" w:space="0" w:color="auto" w:frame="1"/>
          </w:rPr>
          <w:t>http://www.mg.co.za/article/2016-07-11-00-modernising-the-governments-procurement-system</w:t>
        </w:r>
      </w:hyperlink>
      <w:r w:rsidRPr="00C86975">
        <w:rPr>
          <w:bCs/>
          <w:color w:val="000000" w:themeColor="text1"/>
          <w:bdr w:val="none" w:sz="0" w:space="0" w:color="auto" w:frame="1"/>
        </w:rPr>
        <w:t>. Accessed 2018/07/04.</w:t>
      </w:r>
    </w:p>
    <w:p w:rsidR="00701836" w:rsidRPr="00C86975" w:rsidRDefault="00937F9C" w:rsidP="00C86975">
      <w:pPr>
        <w:spacing w:beforeLines="120" w:before="288" w:afterLines="120" w:after="288"/>
        <w:rPr>
          <w:b/>
          <w:color w:val="000000" w:themeColor="text1"/>
        </w:rPr>
      </w:pPr>
      <w:r w:rsidRPr="00C86975">
        <w:rPr>
          <w:rFonts w:eastAsia="MS Mincho"/>
          <w:color w:val="000000" w:themeColor="text1"/>
        </w:rPr>
        <w:t>United Nations (UN)</w:t>
      </w:r>
      <w:r w:rsidR="00701836" w:rsidRPr="00C86975">
        <w:rPr>
          <w:rFonts w:eastAsia="MS Mincho"/>
          <w:color w:val="000000" w:themeColor="text1"/>
        </w:rPr>
        <w:t xml:space="preserve"> </w:t>
      </w:r>
      <w:r w:rsidRPr="00C86975">
        <w:rPr>
          <w:rFonts w:eastAsia="MS Mincho"/>
          <w:color w:val="000000" w:themeColor="text1"/>
        </w:rPr>
        <w:t>(</w:t>
      </w:r>
      <w:r w:rsidR="00701836" w:rsidRPr="00C86975">
        <w:rPr>
          <w:rFonts w:eastAsia="MS Mincho"/>
          <w:color w:val="000000" w:themeColor="text1"/>
        </w:rPr>
        <w:t>2002</w:t>
      </w:r>
      <w:r w:rsidRPr="00C86975">
        <w:rPr>
          <w:rFonts w:eastAsia="MS Mincho"/>
          <w:color w:val="000000" w:themeColor="text1"/>
        </w:rPr>
        <w:t>).</w:t>
      </w:r>
      <w:r w:rsidR="00787B8C" w:rsidRPr="00C86975">
        <w:rPr>
          <w:rFonts w:eastAsia="MS Mincho"/>
          <w:color w:val="000000" w:themeColor="text1"/>
        </w:rPr>
        <w:t xml:space="preserve"> </w:t>
      </w:r>
      <w:r w:rsidR="00787B8C" w:rsidRPr="00C86975">
        <w:rPr>
          <w:rFonts w:eastAsia="MS Mincho"/>
          <w:i/>
          <w:color w:val="000000" w:themeColor="text1"/>
        </w:rPr>
        <w:t>Gender mainstreaming: An overview</w:t>
      </w:r>
      <w:r w:rsidR="002F0A9D" w:rsidRPr="00C86975">
        <w:rPr>
          <w:rFonts w:eastAsia="MS Mincho"/>
          <w:color w:val="000000" w:themeColor="text1"/>
        </w:rPr>
        <w:t>. New York: United Nations</w:t>
      </w:r>
      <w:r w:rsidR="002F0A9D" w:rsidRPr="00C86975">
        <w:rPr>
          <w:rFonts w:eastAsia="MS Mincho"/>
          <w:b/>
          <w:color w:val="000000" w:themeColor="text1"/>
        </w:rPr>
        <w:t>.</w:t>
      </w:r>
    </w:p>
    <w:p w:rsidR="00E94CC6" w:rsidRPr="00C86975" w:rsidRDefault="00E94CC6" w:rsidP="00C86975">
      <w:pPr>
        <w:spacing w:beforeLines="120" w:before="288" w:afterLines="120" w:after="288"/>
        <w:rPr>
          <w:color w:val="000000" w:themeColor="text1"/>
          <w:lang w:val="en-ZA"/>
        </w:rPr>
      </w:pPr>
      <w:r w:rsidRPr="00C86975">
        <w:rPr>
          <w:color w:val="000000" w:themeColor="text1"/>
          <w:lang w:val="en-ZA"/>
        </w:rPr>
        <w:t xml:space="preserve">United Nations (UN) (2015a). </w:t>
      </w:r>
      <w:r w:rsidRPr="00C86975">
        <w:rPr>
          <w:i/>
          <w:color w:val="000000" w:themeColor="text1"/>
          <w:lang w:val="en-ZA"/>
        </w:rPr>
        <w:t>Transforming our world: The 2030 Agenda for Sustainable Development</w:t>
      </w:r>
      <w:r w:rsidRPr="00C86975">
        <w:rPr>
          <w:color w:val="000000" w:themeColor="text1"/>
          <w:lang w:val="en-ZA"/>
        </w:rPr>
        <w:t>.</w:t>
      </w:r>
      <w:r w:rsidR="0091349A" w:rsidRPr="00C86975">
        <w:rPr>
          <w:color w:val="000000" w:themeColor="text1"/>
          <w:lang w:val="en-ZA"/>
        </w:rPr>
        <w:t xml:space="preserve"> New York: United Nations.</w:t>
      </w:r>
    </w:p>
    <w:p w:rsidR="00701836" w:rsidRPr="00C86975" w:rsidRDefault="00937F9C" w:rsidP="00C86975">
      <w:pPr>
        <w:spacing w:beforeLines="120" w:before="288" w:afterLines="120" w:after="288"/>
        <w:rPr>
          <w:color w:val="000000" w:themeColor="text1"/>
          <w:lang w:val="en-ZA"/>
        </w:rPr>
      </w:pPr>
      <w:r w:rsidRPr="00C86975">
        <w:rPr>
          <w:color w:val="000000" w:themeColor="text1"/>
          <w:lang w:val="en-ZA"/>
        </w:rPr>
        <w:t>United Nations</w:t>
      </w:r>
      <w:r w:rsidR="00701836" w:rsidRPr="00C86975">
        <w:rPr>
          <w:color w:val="000000" w:themeColor="text1"/>
          <w:lang w:val="en-ZA"/>
        </w:rPr>
        <w:t xml:space="preserve"> </w:t>
      </w:r>
      <w:r w:rsidRPr="00C86975">
        <w:rPr>
          <w:color w:val="000000" w:themeColor="text1"/>
          <w:lang w:val="en-ZA"/>
        </w:rPr>
        <w:t>(UN) (</w:t>
      </w:r>
      <w:r w:rsidR="00701836" w:rsidRPr="00C86975">
        <w:rPr>
          <w:color w:val="000000" w:themeColor="text1"/>
          <w:lang w:val="en-ZA"/>
        </w:rPr>
        <w:t>2015</w:t>
      </w:r>
      <w:r w:rsidR="00E94CC6" w:rsidRPr="00C86975">
        <w:rPr>
          <w:color w:val="000000" w:themeColor="text1"/>
          <w:lang w:val="en-ZA"/>
        </w:rPr>
        <w:t>b</w:t>
      </w:r>
      <w:r w:rsidRPr="00C86975">
        <w:rPr>
          <w:color w:val="000000" w:themeColor="text1"/>
          <w:lang w:val="en-ZA"/>
        </w:rPr>
        <w:t>).</w:t>
      </w:r>
      <w:r w:rsidR="00E637E6" w:rsidRPr="00C86975">
        <w:rPr>
          <w:color w:val="000000" w:themeColor="text1"/>
          <w:lang w:val="en-ZA"/>
        </w:rPr>
        <w:t xml:space="preserve"> </w:t>
      </w:r>
      <w:r w:rsidR="00E637E6" w:rsidRPr="00C86975">
        <w:rPr>
          <w:i/>
          <w:color w:val="000000" w:themeColor="text1"/>
          <w:lang w:val="en-ZA"/>
        </w:rPr>
        <w:t>Addis Ababa Action Agenda of The Third International Conference on Financing for Development (Addis Ababa Action Agenda)</w:t>
      </w:r>
      <w:r w:rsidR="00E637E6" w:rsidRPr="00C86975">
        <w:rPr>
          <w:color w:val="000000" w:themeColor="text1"/>
          <w:lang w:val="en-ZA"/>
        </w:rPr>
        <w:t>. Resolution adopted by the General Assembly 27 July 2015. A/res/69/313.</w:t>
      </w:r>
      <w:r w:rsidR="0091349A" w:rsidRPr="00C86975">
        <w:rPr>
          <w:color w:val="000000" w:themeColor="text1"/>
          <w:lang w:val="en-ZA"/>
        </w:rPr>
        <w:t xml:space="preserve"> New York: United Nations.</w:t>
      </w:r>
    </w:p>
    <w:p w:rsidR="00F77B05" w:rsidRPr="00C86975" w:rsidRDefault="00F77B05" w:rsidP="00C86975">
      <w:pPr>
        <w:pStyle w:val="TableofAuthorities"/>
        <w:spacing w:after="288"/>
        <w:rPr>
          <w:color w:val="000000" w:themeColor="text1"/>
        </w:rPr>
      </w:pPr>
      <w:r w:rsidRPr="00C86975">
        <w:rPr>
          <w:color w:val="000000" w:themeColor="text1"/>
        </w:rPr>
        <w:t>United Nations Department of Economic and Social Affairs</w:t>
      </w:r>
      <w:r w:rsidR="004701DD" w:rsidRPr="00C86975">
        <w:rPr>
          <w:color w:val="000000" w:themeColor="text1"/>
        </w:rPr>
        <w:t xml:space="preserve"> (UNDESA)</w:t>
      </w:r>
      <w:r w:rsidRPr="00C86975">
        <w:rPr>
          <w:color w:val="000000" w:themeColor="text1"/>
        </w:rPr>
        <w:t xml:space="preserve"> (2015). </w:t>
      </w:r>
      <w:r w:rsidRPr="00C86975">
        <w:rPr>
          <w:i/>
          <w:color w:val="000000" w:themeColor="text1"/>
        </w:rPr>
        <w:t>Addis Ababa Action Plan for Transformative Financing for Gender Equality and Women</w:t>
      </w:r>
      <w:r w:rsidR="00B80CE5" w:rsidRPr="00C86975">
        <w:rPr>
          <w:i/>
          <w:color w:val="000000" w:themeColor="text1"/>
        </w:rPr>
        <w:t>’</w:t>
      </w:r>
      <w:r w:rsidRPr="00C86975">
        <w:rPr>
          <w:i/>
          <w:color w:val="000000" w:themeColor="text1"/>
        </w:rPr>
        <w:t>s Empowerment</w:t>
      </w:r>
      <w:r w:rsidRPr="00C86975">
        <w:rPr>
          <w:color w:val="000000" w:themeColor="text1"/>
        </w:rPr>
        <w:t xml:space="preserve">. </w:t>
      </w:r>
      <w:hyperlink w:history="1"/>
      <w:hyperlink r:id="rId16" w:history="1">
        <w:r w:rsidR="0017687F" w:rsidRPr="00C86975">
          <w:rPr>
            <w:rStyle w:val="Hyperlink"/>
            <w:color w:val="000000" w:themeColor="text1"/>
          </w:rPr>
          <w:t>http://www.un.org/esa/ffd/ffd3/commitments/commitme nt/addis-ababa-action-plan-on-transformative-financing-for-gender-equality-and-womens-empowerment.html</w:t>
        </w:r>
      </w:hyperlink>
      <w:r w:rsidR="00B80CE5" w:rsidRPr="00C86975">
        <w:rPr>
          <w:color w:val="000000" w:themeColor="text1"/>
        </w:rPr>
        <w:t>. Accessed 2018/06/26.</w:t>
      </w:r>
      <w:r w:rsidRPr="00C86975">
        <w:rPr>
          <w:color w:val="000000" w:themeColor="text1"/>
        </w:rPr>
        <w:t xml:space="preserve"> </w:t>
      </w:r>
    </w:p>
    <w:p w:rsidR="001E0699" w:rsidRPr="00C86975" w:rsidRDefault="001E0699" w:rsidP="00C86975">
      <w:pPr>
        <w:pStyle w:val="Default"/>
        <w:spacing w:beforeLines="120" w:before="288" w:afterLines="120" w:after="288"/>
        <w:rPr>
          <w:color w:val="000000" w:themeColor="text1"/>
          <w:lang w:val="en-GB"/>
        </w:rPr>
      </w:pPr>
      <w:r w:rsidRPr="00C86975">
        <w:rPr>
          <w:color w:val="000000" w:themeColor="text1"/>
          <w:lang w:val="en-GB"/>
        </w:rPr>
        <w:t>Weewauters, M</w:t>
      </w:r>
      <w:r w:rsidR="00DA75D1" w:rsidRPr="00C86975">
        <w:rPr>
          <w:color w:val="000000" w:themeColor="text1"/>
          <w:lang w:val="en-GB"/>
        </w:rPr>
        <w:t xml:space="preserve">. </w:t>
      </w:r>
      <w:r w:rsidRPr="00C86975">
        <w:rPr>
          <w:color w:val="000000" w:themeColor="text1"/>
          <w:lang w:val="en-GB"/>
        </w:rPr>
        <w:t>(2007)</w:t>
      </w:r>
      <w:r w:rsidR="00DA75D1" w:rsidRPr="00C86975">
        <w:rPr>
          <w:color w:val="000000" w:themeColor="text1"/>
          <w:lang w:val="en-GB"/>
        </w:rPr>
        <w:t>.</w:t>
      </w:r>
      <w:r w:rsidRPr="00C86975">
        <w:rPr>
          <w:color w:val="000000" w:themeColor="text1"/>
          <w:lang w:val="en-GB"/>
        </w:rPr>
        <w:t xml:space="preserve"> </w:t>
      </w:r>
      <w:r w:rsidRPr="00C86975">
        <w:rPr>
          <w:i/>
          <w:color w:val="000000" w:themeColor="text1"/>
          <w:lang w:val="en-GB"/>
        </w:rPr>
        <w:t>Equal Opportunities for Women and Men in Public Procurement Contracts: A Few Recommendations</w:t>
      </w:r>
      <w:r w:rsidR="00B80CE5" w:rsidRPr="00C86975">
        <w:rPr>
          <w:i/>
          <w:color w:val="000000" w:themeColor="text1"/>
          <w:lang w:val="en-GB"/>
        </w:rPr>
        <w:t>.</w:t>
      </w:r>
      <w:r w:rsidR="00B80CE5" w:rsidRPr="00C86975">
        <w:rPr>
          <w:color w:val="000000" w:themeColor="text1"/>
          <w:lang w:val="en-GB"/>
        </w:rPr>
        <w:t xml:space="preserve"> </w:t>
      </w:r>
      <w:r w:rsidRPr="00C86975">
        <w:rPr>
          <w:color w:val="000000" w:themeColor="text1"/>
          <w:lang w:val="en-GB"/>
        </w:rPr>
        <w:t xml:space="preserve">Brussels: Institute for the Equality of Women and Men.  </w:t>
      </w:r>
    </w:p>
    <w:p w:rsidR="00424258" w:rsidRPr="009642D9" w:rsidRDefault="00424258" w:rsidP="00424258">
      <w:pPr>
        <w:pStyle w:val="Default"/>
        <w:rPr>
          <w:color w:val="auto"/>
        </w:rPr>
      </w:pPr>
      <w:r w:rsidRPr="00C86975">
        <w:rPr>
          <w:color w:val="000000" w:themeColor="text1"/>
        </w:rPr>
        <w:t xml:space="preserve">Worrel, </w:t>
      </w:r>
      <w:r w:rsidR="00681F4F" w:rsidRPr="00C86975">
        <w:rPr>
          <w:color w:val="000000" w:themeColor="text1"/>
        </w:rPr>
        <w:t>L.K.N.G.</w:t>
      </w:r>
      <w:hyperlink r:id="rId17" w:history="1"/>
      <w:r w:rsidRPr="00C86975">
        <w:rPr>
          <w:color w:val="000000" w:themeColor="text1"/>
        </w:rPr>
        <w:t xml:space="preserve"> (2012)</w:t>
      </w:r>
      <w:r w:rsidR="00681F4F" w:rsidRPr="00C86975">
        <w:rPr>
          <w:color w:val="000000" w:themeColor="text1"/>
        </w:rPr>
        <w:t>.</w:t>
      </w:r>
      <w:r w:rsidRPr="00C86975">
        <w:rPr>
          <w:color w:val="000000" w:themeColor="text1"/>
        </w:rPr>
        <w:t xml:space="preserve"> Procurement for Sustainable Local Economic Development,</w:t>
      </w:r>
      <w:r w:rsidRPr="00C86975">
        <w:rPr>
          <w:i/>
          <w:color w:val="000000" w:themeColor="text1"/>
        </w:rPr>
        <w:t xml:space="preserve"> International Journal of Public Sector Management. </w:t>
      </w:r>
      <w:r w:rsidRPr="00C86975">
        <w:rPr>
          <w:color w:val="000000" w:themeColor="text1"/>
        </w:rPr>
        <w:t xml:space="preserve"> 25(2), 1</w:t>
      </w:r>
      <w:r w:rsidRPr="009642D9">
        <w:rPr>
          <w:color w:val="auto"/>
        </w:rPr>
        <w:t>33-153.</w:t>
      </w:r>
    </w:p>
    <w:p w:rsidR="00701836" w:rsidRPr="006763FB" w:rsidRDefault="00701836" w:rsidP="001001DA">
      <w:pPr>
        <w:spacing w:beforeLines="120" w:before="288" w:afterLines="120" w:after="288"/>
      </w:pPr>
    </w:p>
    <w:sectPr w:rsidR="00701836" w:rsidRPr="006763FB" w:rsidSect="00C86975">
      <w:headerReference w:type="even" r:id="rId18"/>
      <w:headerReference w:type="default" r:id="rId19"/>
      <w:footerReference w:type="even" r:id="rId20"/>
      <w:footerReference w:type="default" r:id="rId21"/>
      <w:pgSz w:w="9639" w:h="13608"/>
      <w:pgMar w:top="1418" w:right="851" w:bottom="1418" w:left="851" w:header="709" w:footer="709" w:gutter="0"/>
      <w:pgNumType w:start="1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1A5" w:rsidRDefault="005621A5" w:rsidP="00952193">
      <w:r>
        <w:separator/>
      </w:r>
    </w:p>
    <w:p w:rsidR="005621A5" w:rsidRDefault="005621A5" w:rsidP="00952193"/>
  </w:endnote>
  <w:endnote w:type="continuationSeparator" w:id="0">
    <w:p w:rsidR="005621A5" w:rsidRDefault="005621A5" w:rsidP="00952193">
      <w:r>
        <w:continuationSeparator/>
      </w:r>
    </w:p>
    <w:p w:rsidR="005621A5" w:rsidRDefault="005621A5" w:rsidP="00952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ElegaGarmnd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F3" w:rsidRDefault="001001DA" w:rsidP="00952193">
    <w:pPr>
      <w:pStyle w:val="Footer"/>
      <w:rPr>
        <w:rStyle w:val="PageNumber"/>
      </w:rPr>
    </w:pPr>
    <w:r>
      <w:rPr>
        <w:rStyle w:val="PageNumber"/>
      </w:rPr>
      <w:fldChar w:fldCharType="begin"/>
    </w:r>
    <w:r w:rsidR="004A72F3">
      <w:rPr>
        <w:rStyle w:val="PageNumber"/>
      </w:rPr>
      <w:instrText xml:space="preserve">PAGE  </w:instrText>
    </w:r>
    <w:r>
      <w:rPr>
        <w:rStyle w:val="PageNumber"/>
      </w:rPr>
      <w:fldChar w:fldCharType="separate"/>
    </w:r>
    <w:r w:rsidR="004A72F3">
      <w:rPr>
        <w:rStyle w:val="PageNumber"/>
        <w:noProof/>
      </w:rPr>
      <w:t>2</w:t>
    </w:r>
    <w:r>
      <w:rPr>
        <w:rStyle w:val="PageNumber"/>
      </w:rPr>
      <w:fldChar w:fldCharType="end"/>
    </w:r>
  </w:p>
  <w:p w:rsidR="004A72F3" w:rsidRDefault="004A72F3" w:rsidP="00952193">
    <w:pPr>
      <w:pStyle w:val="Footer"/>
    </w:pPr>
  </w:p>
  <w:p w:rsidR="004A72F3" w:rsidRDefault="004A72F3" w:rsidP="009521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391230"/>
      <w:docPartObj>
        <w:docPartGallery w:val="Page Numbers (Bottom of Page)"/>
        <w:docPartUnique/>
      </w:docPartObj>
    </w:sdtPr>
    <w:sdtEndPr/>
    <w:sdtContent>
      <w:p w:rsidR="00C86975" w:rsidRDefault="00226372">
        <w:pPr>
          <w:pStyle w:val="Footer"/>
          <w:jc w:val="center"/>
        </w:pPr>
        <w:r>
          <w:fldChar w:fldCharType="begin"/>
        </w:r>
        <w:r>
          <w:instrText xml:space="preserve"> PAGE   \* MERGEFORMAT </w:instrText>
        </w:r>
        <w:r>
          <w:fldChar w:fldCharType="separate"/>
        </w:r>
        <w:r>
          <w:rPr>
            <w:noProof/>
          </w:rPr>
          <w:t>133</w:t>
        </w:r>
        <w:r>
          <w:rPr>
            <w:noProof/>
          </w:rPr>
          <w:fldChar w:fldCharType="end"/>
        </w:r>
      </w:p>
    </w:sdtContent>
  </w:sdt>
  <w:p w:rsidR="004A72F3" w:rsidRPr="00864DFA" w:rsidRDefault="004A72F3" w:rsidP="00952193">
    <w:pPr>
      <w:pStyle w:val="Footer"/>
      <w:rPr>
        <w:rStyle w:val="PageNumbe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1A5" w:rsidRDefault="005621A5" w:rsidP="00952193">
      <w:r>
        <w:separator/>
      </w:r>
    </w:p>
    <w:p w:rsidR="005621A5" w:rsidRDefault="005621A5" w:rsidP="00952193"/>
  </w:footnote>
  <w:footnote w:type="continuationSeparator" w:id="0">
    <w:p w:rsidR="005621A5" w:rsidRDefault="005621A5" w:rsidP="00952193">
      <w:r>
        <w:continuationSeparator/>
      </w:r>
    </w:p>
    <w:p w:rsidR="005621A5" w:rsidRDefault="005621A5" w:rsidP="00952193"/>
  </w:footnote>
  <w:footnote w:id="1">
    <w:p w:rsidR="004A72F3" w:rsidRPr="002D7D0A" w:rsidRDefault="004A72F3">
      <w:pPr>
        <w:pStyle w:val="FootnoteText"/>
        <w:rPr>
          <w:lang w:val="en-ZA"/>
        </w:rPr>
      </w:pPr>
      <w:r>
        <w:rPr>
          <w:rStyle w:val="FootnoteReference"/>
        </w:rPr>
        <w:footnoteRef/>
      </w:r>
      <w:r>
        <w:t xml:space="preserve"> </w:t>
      </w:r>
      <w:r w:rsidR="00C527C3" w:rsidRPr="002D7D0A">
        <w:t>www.joburg.org.za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F3" w:rsidRPr="00097B78" w:rsidRDefault="004A72F3" w:rsidP="00952193">
    <w:pPr>
      <w:pStyle w:val="Header"/>
      <w:rPr>
        <w:lang w:val="hr-HR"/>
      </w:rPr>
    </w:pPr>
  </w:p>
  <w:p w:rsidR="004A72F3" w:rsidRDefault="004A72F3" w:rsidP="009521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75" w:rsidRDefault="00C86975" w:rsidP="00C86975">
    <w:pPr>
      <w:pStyle w:val="NormalWeb"/>
      <w:rPr>
        <w:sz w:val="20"/>
        <w:szCs w:val="20"/>
      </w:rPr>
    </w:pPr>
    <w:r>
      <w:rPr>
        <w:sz w:val="20"/>
        <w:szCs w:val="20"/>
      </w:rPr>
      <w:t>INTERNATIONAL JOURNAL OF BUSINESS AND MANAGEMENT STUDIES</w:t>
    </w:r>
  </w:p>
  <w:p w:rsidR="00C86975" w:rsidRPr="00C86975" w:rsidRDefault="00C86975" w:rsidP="00C86975">
    <w:pPr>
      <w:pStyle w:val="Header"/>
      <w:spacing w:before="0"/>
      <w:rPr>
        <w:sz w:val="20"/>
        <w:szCs w:val="20"/>
      </w:rPr>
    </w:pPr>
    <w:r>
      <w:rPr>
        <w:sz w:val="20"/>
        <w:szCs w:val="20"/>
      </w:rPr>
      <w:t xml:space="preserve">Vol  10, No </w:t>
    </w:r>
    <w:r>
      <w:rPr>
        <w:sz w:val="20"/>
        <w:szCs w:val="20"/>
        <w:lang w:val="tr-TR"/>
      </w:rPr>
      <w:t>2</w:t>
    </w:r>
    <w:r>
      <w:rPr>
        <w:sz w:val="20"/>
        <w:szCs w:val="20"/>
      </w:rPr>
      <w:t>, 2018   ISSN:  1309-8047 (Online)</w:t>
    </w:r>
  </w:p>
  <w:p w:rsidR="00C86975" w:rsidRDefault="00C86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97357"/>
    <w:multiLevelType w:val="hybridMultilevel"/>
    <w:tmpl w:val="087847E8"/>
    <w:lvl w:ilvl="0" w:tplc="04090001">
      <w:start w:val="1"/>
      <w:numFmt w:val="bullet"/>
      <w:lvlText w:val=""/>
      <w:lvlJc w:val="left"/>
      <w:pPr>
        <w:tabs>
          <w:tab w:val="num" w:pos="720"/>
        </w:tabs>
        <w:ind w:left="720" w:hanging="360"/>
      </w:pPr>
      <w:rPr>
        <w:rFonts w:ascii="Symbol" w:hAnsi="Symbol" w:cs="Symbol" w:hint="default"/>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12712CA"/>
    <w:multiLevelType w:val="hybridMultilevel"/>
    <w:tmpl w:val="F5DC9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19053A"/>
    <w:multiLevelType w:val="hybridMultilevel"/>
    <w:tmpl w:val="799A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C941DD"/>
    <w:multiLevelType w:val="hybridMultilevel"/>
    <w:tmpl w:val="D43A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4C0338"/>
    <w:multiLevelType w:val="hybridMultilevel"/>
    <w:tmpl w:val="FFC24D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C1"/>
    <w:rsid w:val="0000216C"/>
    <w:rsid w:val="000057D4"/>
    <w:rsid w:val="0000624E"/>
    <w:rsid w:val="00011547"/>
    <w:rsid w:val="0001475F"/>
    <w:rsid w:val="00021B78"/>
    <w:rsid w:val="00022338"/>
    <w:rsid w:val="000254B0"/>
    <w:rsid w:val="0003348C"/>
    <w:rsid w:val="00033BFA"/>
    <w:rsid w:val="000418D5"/>
    <w:rsid w:val="000455EA"/>
    <w:rsid w:val="00052CC0"/>
    <w:rsid w:val="00055694"/>
    <w:rsid w:val="000614B4"/>
    <w:rsid w:val="00063B98"/>
    <w:rsid w:val="00071983"/>
    <w:rsid w:val="0007381E"/>
    <w:rsid w:val="00081470"/>
    <w:rsid w:val="00083B9D"/>
    <w:rsid w:val="00083CB2"/>
    <w:rsid w:val="00093EF6"/>
    <w:rsid w:val="000A1C56"/>
    <w:rsid w:val="000A3C42"/>
    <w:rsid w:val="000A5940"/>
    <w:rsid w:val="000A74A0"/>
    <w:rsid w:val="000B3712"/>
    <w:rsid w:val="000B76A2"/>
    <w:rsid w:val="000C2962"/>
    <w:rsid w:val="000C344A"/>
    <w:rsid w:val="000D3026"/>
    <w:rsid w:val="000E45AB"/>
    <w:rsid w:val="000F1E5E"/>
    <w:rsid w:val="000F2CEA"/>
    <w:rsid w:val="001001DA"/>
    <w:rsid w:val="00101B0C"/>
    <w:rsid w:val="00110EBA"/>
    <w:rsid w:val="00115D1A"/>
    <w:rsid w:val="00123E33"/>
    <w:rsid w:val="00132CB0"/>
    <w:rsid w:val="001367A8"/>
    <w:rsid w:val="00143575"/>
    <w:rsid w:val="00172E21"/>
    <w:rsid w:val="001763D1"/>
    <w:rsid w:val="0017687F"/>
    <w:rsid w:val="00186986"/>
    <w:rsid w:val="00193F9D"/>
    <w:rsid w:val="001C4D4B"/>
    <w:rsid w:val="001C7D76"/>
    <w:rsid w:val="001E0699"/>
    <w:rsid w:val="001E073F"/>
    <w:rsid w:val="001E1267"/>
    <w:rsid w:val="001E3697"/>
    <w:rsid w:val="001E38DF"/>
    <w:rsid w:val="001E3B72"/>
    <w:rsid w:val="001F677D"/>
    <w:rsid w:val="00203F02"/>
    <w:rsid w:val="002067C0"/>
    <w:rsid w:val="002231BC"/>
    <w:rsid w:val="00226372"/>
    <w:rsid w:val="0023150A"/>
    <w:rsid w:val="002315F3"/>
    <w:rsid w:val="00233012"/>
    <w:rsid w:val="002377C3"/>
    <w:rsid w:val="00245429"/>
    <w:rsid w:val="00262E5A"/>
    <w:rsid w:val="00272D70"/>
    <w:rsid w:val="00282789"/>
    <w:rsid w:val="002827EB"/>
    <w:rsid w:val="00285D64"/>
    <w:rsid w:val="00287D88"/>
    <w:rsid w:val="002A5B1C"/>
    <w:rsid w:val="002C183F"/>
    <w:rsid w:val="002C7997"/>
    <w:rsid w:val="002D081D"/>
    <w:rsid w:val="002D1A02"/>
    <w:rsid w:val="002D4F1F"/>
    <w:rsid w:val="002D4F31"/>
    <w:rsid w:val="002D7D0A"/>
    <w:rsid w:val="002E22F6"/>
    <w:rsid w:val="002E3D97"/>
    <w:rsid w:val="002E5F39"/>
    <w:rsid w:val="002F0558"/>
    <w:rsid w:val="002F0A9D"/>
    <w:rsid w:val="002F26E2"/>
    <w:rsid w:val="003002D2"/>
    <w:rsid w:val="00300FAA"/>
    <w:rsid w:val="00303E47"/>
    <w:rsid w:val="00304298"/>
    <w:rsid w:val="003134BD"/>
    <w:rsid w:val="00315858"/>
    <w:rsid w:val="00320431"/>
    <w:rsid w:val="00321A88"/>
    <w:rsid w:val="00333BD9"/>
    <w:rsid w:val="00336A15"/>
    <w:rsid w:val="00342764"/>
    <w:rsid w:val="00342E61"/>
    <w:rsid w:val="003430DE"/>
    <w:rsid w:val="00352884"/>
    <w:rsid w:val="003541F8"/>
    <w:rsid w:val="003601A2"/>
    <w:rsid w:val="003607C7"/>
    <w:rsid w:val="00362607"/>
    <w:rsid w:val="0036568B"/>
    <w:rsid w:val="00365FF9"/>
    <w:rsid w:val="00367CF0"/>
    <w:rsid w:val="00371F94"/>
    <w:rsid w:val="00384771"/>
    <w:rsid w:val="003848A9"/>
    <w:rsid w:val="0038766A"/>
    <w:rsid w:val="0039204A"/>
    <w:rsid w:val="00393D46"/>
    <w:rsid w:val="00394C18"/>
    <w:rsid w:val="00396A75"/>
    <w:rsid w:val="003D05E1"/>
    <w:rsid w:val="003D7A49"/>
    <w:rsid w:val="003E31B9"/>
    <w:rsid w:val="003E47D3"/>
    <w:rsid w:val="003F2198"/>
    <w:rsid w:val="003F4628"/>
    <w:rsid w:val="0040045A"/>
    <w:rsid w:val="00400E5B"/>
    <w:rsid w:val="00402CB3"/>
    <w:rsid w:val="00404F28"/>
    <w:rsid w:val="00405737"/>
    <w:rsid w:val="0040788F"/>
    <w:rsid w:val="00420A94"/>
    <w:rsid w:val="00421C6C"/>
    <w:rsid w:val="00424258"/>
    <w:rsid w:val="00432FD6"/>
    <w:rsid w:val="00437A51"/>
    <w:rsid w:val="00440D93"/>
    <w:rsid w:val="004439C4"/>
    <w:rsid w:val="004508E3"/>
    <w:rsid w:val="00461390"/>
    <w:rsid w:val="00462136"/>
    <w:rsid w:val="00462869"/>
    <w:rsid w:val="004653AC"/>
    <w:rsid w:val="004701DD"/>
    <w:rsid w:val="004747FA"/>
    <w:rsid w:val="004755FD"/>
    <w:rsid w:val="004924E7"/>
    <w:rsid w:val="004931E8"/>
    <w:rsid w:val="004A2619"/>
    <w:rsid w:val="004A72F3"/>
    <w:rsid w:val="004B126B"/>
    <w:rsid w:val="004B78B2"/>
    <w:rsid w:val="004C0F50"/>
    <w:rsid w:val="004C6E41"/>
    <w:rsid w:val="004D3779"/>
    <w:rsid w:val="004D414F"/>
    <w:rsid w:val="004D4224"/>
    <w:rsid w:val="004E0835"/>
    <w:rsid w:val="004E0EA6"/>
    <w:rsid w:val="004E2EAC"/>
    <w:rsid w:val="004E3C8E"/>
    <w:rsid w:val="00506FDE"/>
    <w:rsid w:val="00507D4D"/>
    <w:rsid w:val="00515B03"/>
    <w:rsid w:val="00526598"/>
    <w:rsid w:val="00526FA9"/>
    <w:rsid w:val="00530E94"/>
    <w:rsid w:val="00534130"/>
    <w:rsid w:val="00543194"/>
    <w:rsid w:val="00545669"/>
    <w:rsid w:val="005621A5"/>
    <w:rsid w:val="00563EB5"/>
    <w:rsid w:val="00577BD2"/>
    <w:rsid w:val="00582D27"/>
    <w:rsid w:val="00582FB1"/>
    <w:rsid w:val="00583072"/>
    <w:rsid w:val="0058571D"/>
    <w:rsid w:val="00594856"/>
    <w:rsid w:val="005B1176"/>
    <w:rsid w:val="005B2140"/>
    <w:rsid w:val="005B4FDE"/>
    <w:rsid w:val="005D0A35"/>
    <w:rsid w:val="005D0E84"/>
    <w:rsid w:val="005D552C"/>
    <w:rsid w:val="005E08BF"/>
    <w:rsid w:val="005E2CD6"/>
    <w:rsid w:val="005E5B03"/>
    <w:rsid w:val="005F4868"/>
    <w:rsid w:val="00623871"/>
    <w:rsid w:val="00624473"/>
    <w:rsid w:val="0062529A"/>
    <w:rsid w:val="006276B4"/>
    <w:rsid w:val="00635142"/>
    <w:rsid w:val="00647C3F"/>
    <w:rsid w:val="006519D2"/>
    <w:rsid w:val="006563BF"/>
    <w:rsid w:val="00664135"/>
    <w:rsid w:val="006653B7"/>
    <w:rsid w:val="006763FB"/>
    <w:rsid w:val="0068053B"/>
    <w:rsid w:val="00680EF6"/>
    <w:rsid w:val="00681F4F"/>
    <w:rsid w:val="00685DC8"/>
    <w:rsid w:val="006918B0"/>
    <w:rsid w:val="006A0EBA"/>
    <w:rsid w:val="006A1546"/>
    <w:rsid w:val="006B2332"/>
    <w:rsid w:val="006C2E43"/>
    <w:rsid w:val="006C697A"/>
    <w:rsid w:val="006D62A5"/>
    <w:rsid w:val="006E5B1B"/>
    <w:rsid w:val="006F277B"/>
    <w:rsid w:val="006F3E40"/>
    <w:rsid w:val="00700EE6"/>
    <w:rsid w:val="00701836"/>
    <w:rsid w:val="00703968"/>
    <w:rsid w:val="0071226F"/>
    <w:rsid w:val="007161CC"/>
    <w:rsid w:val="00724F2C"/>
    <w:rsid w:val="00727692"/>
    <w:rsid w:val="00731EE9"/>
    <w:rsid w:val="00734D89"/>
    <w:rsid w:val="00740B72"/>
    <w:rsid w:val="00744AD1"/>
    <w:rsid w:val="00754A8B"/>
    <w:rsid w:val="007563CE"/>
    <w:rsid w:val="00763D60"/>
    <w:rsid w:val="00765597"/>
    <w:rsid w:val="00766DB6"/>
    <w:rsid w:val="007739E8"/>
    <w:rsid w:val="00773CB0"/>
    <w:rsid w:val="00777E39"/>
    <w:rsid w:val="0078739B"/>
    <w:rsid w:val="00787B8C"/>
    <w:rsid w:val="007910FE"/>
    <w:rsid w:val="00793114"/>
    <w:rsid w:val="007A5316"/>
    <w:rsid w:val="007B0CDF"/>
    <w:rsid w:val="007B5B12"/>
    <w:rsid w:val="007D1200"/>
    <w:rsid w:val="007D1EC2"/>
    <w:rsid w:val="007D761E"/>
    <w:rsid w:val="007E297D"/>
    <w:rsid w:val="007E4412"/>
    <w:rsid w:val="007F0A7A"/>
    <w:rsid w:val="007F3D53"/>
    <w:rsid w:val="007F7917"/>
    <w:rsid w:val="00801112"/>
    <w:rsid w:val="00803124"/>
    <w:rsid w:val="008104F7"/>
    <w:rsid w:val="00811F02"/>
    <w:rsid w:val="0081556F"/>
    <w:rsid w:val="00821AF3"/>
    <w:rsid w:val="008226F5"/>
    <w:rsid w:val="00837B47"/>
    <w:rsid w:val="00841069"/>
    <w:rsid w:val="008444F2"/>
    <w:rsid w:val="0085106F"/>
    <w:rsid w:val="0085150C"/>
    <w:rsid w:val="00862746"/>
    <w:rsid w:val="0086416B"/>
    <w:rsid w:val="00864DFA"/>
    <w:rsid w:val="00873AE0"/>
    <w:rsid w:val="008808C3"/>
    <w:rsid w:val="008917B5"/>
    <w:rsid w:val="00891B5A"/>
    <w:rsid w:val="0089401E"/>
    <w:rsid w:val="008954A1"/>
    <w:rsid w:val="008A2BCB"/>
    <w:rsid w:val="008A3D34"/>
    <w:rsid w:val="008A5352"/>
    <w:rsid w:val="008A756A"/>
    <w:rsid w:val="008B1D7B"/>
    <w:rsid w:val="008C4DBC"/>
    <w:rsid w:val="008D248E"/>
    <w:rsid w:val="008F0B2E"/>
    <w:rsid w:val="008F572B"/>
    <w:rsid w:val="008F788D"/>
    <w:rsid w:val="00900E95"/>
    <w:rsid w:val="009113D2"/>
    <w:rsid w:val="00911CEF"/>
    <w:rsid w:val="00912756"/>
    <w:rsid w:val="0091349A"/>
    <w:rsid w:val="00914F16"/>
    <w:rsid w:val="00916321"/>
    <w:rsid w:val="009215D0"/>
    <w:rsid w:val="00923EA8"/>
    <w:rsid w:val="009270E8"/>
    <w:rsid w:val="0093144F"/>
    <w:rsid w:val="0093185C"/>
    <w:rsid w:val="009318E0"/>
    <w:rsid w:val="009351EC"/>
    <w:rsid w:val="00937F9C"/>
    <w:rsid w:val="009462D1"/>
    <w:rsid w:val="00952193"/>
    <w:rsid w:val="00956062"/>
    <w:rsid w:val="00957DDA"/>
    <w:rsid w:val="00964A51"/>
    <w:rsid w:val="00967266"/>
    <w:rsid w:val="00975FCF"/>
    <w:rsid w:val="009855BE"/>
    <w:rsid w:val="00997934"/>
    <w:rsid w:val="00997F88"/>
    <w:rsid w:val="009A0839"/>
    <w:rsid w:val="009B28DA"/>
    <w:rsid w:val="009C2DBC"/>
    <w:rsid w:val="009C5833"/>
    <w:rsid w:val="009D1026"/>
    <w:rsid w:val="009E423C"/>
    <w:rsid w:val="009E611A"/>
    <w:rsid w:val="009F3244"/>
    <w:rsid w:val="009F3617"/>
    <w:rsid w:val="009F4141"/>
    <w:rsid w:val="00A1498B"/>
    <w:rsid w:val="00A15D38"/>
    <w:rsid w:val="00A16E53"/>
    <w:rsid w:val="00A23532"/>
    <w:rsid w:val="00A305B4"/>
    <w:rsid w:val="00A51992"/>
    <w:rsid w:val="00A5518F"/>
    <w:rsid w:val="00A63588"/>
    <w:rsid w:val="00A64145"/>
    <w:rsid w:val="00A70AEF"/>
    <w:rsid w:val="00A819C7"/>
    <w:rsid w:val="00A979E9"/>
    <w:rsid w:val="00AA5635"/>
    <w:rsid w:val="00AA5CE5"/>
    <w:rsid w:val="00AB4829"/>
    <w:rsid w:val="00AB578E"/>
    <w:rsid w:val="00AC3A0C"/>
    <w:rsid w:val="00AD3A0D"/>
    <w:rsid w:val="00AE2509"/>
    <w:rsid w:val="00AE2C64"/>
    <w:rsid w:val="00AE5AF7"/>
    <w:rsid w:val="00AE7AF1"/>
    <w:rsid w:val="00AF09AF"/>
    <w:rsid w:val="00AF3741"/>
    <w:rsid w:val="00AF7401"/>
    <w:rsid w:val="00B0036E"/>
    <w:rsid w:val="00B069CF"/>
    <w:rsid w:val="00B15DEB"/>
    <w:rsid w:val="00B17C4B"/>
    <w:rsid w:val="00B229E1"/>
    <w:rsid w:val="00B35E02"/>
    <w:rsid w:val="00B41715"/>
    <w:rsid w:val="00B469C9"/>
    <w:rsid w:val="00B46CEA"/>
    <w:rsid w:val="00B47FCC"/>
    <w:rsid w:val="00B50AC4"/>
    <w:rsid w:val="00B629A8"/>
    <w:rsid w:val="00B648EF"/>
    <w:rsid w:val="00B66080"/>
    <w:rsid w:val="00B70ADA"/>
    <w:rsid w:val="00B80152"/>
    <w:rsid w:val="00B80CE5"/>
    <w:rsid w:val="00B837AA"/>
    <w:rsid w:val="00B83933"/>
    <w:rsid w:val="00B90359"/>
    <w:rsid w:val="00B9350D"/>
    <w:rsid w:val="00BA05A6"/>
    <w:rsid w:val="00BB5D3D"/>
    <w:rsid w:val="00BC6987"/>
    <w:rsid w:val="00BC6CFC"/>
    <w:rsid w:val="00BC75BE"/>
    <w:rsid w:val="00BC77EE"/>
    <w:rsid w:val="00BD6B72"/>
    <w:rsid w:val="00BE1264"/>
    <w:rsid w:val="00BE6B56"/>
    <w:rsid w:val="00BE7900"/>
    <w:rsid w:val="00BE7F42"/>
    <w:rsid w:val="00BF6DE2"/>
    <w:rsid w:val="00C03C14"/>
    <w:rsid w:val="00C07643"/>
    <w:rsid w:val="00C12FAA"/>
    <w:rsid w:val="00C302ED"/>
    <w:rsid w:val="00C43EEB"/>
    <w:rsid w:val="00C471E5"/>
    <w:rsid w:val="00C527C3"/>
    <w:rsid w:val="00C54FDC"/>
    <w:rsid w:val="00C5586C"/>
    <w:rsid w:val="00C5635C"/>
    <w:rsid w:val="00C621CA"/>
    <w:rsid w:val="00C66571"/>
    <w:rsid w:val="00C863AE"/>
    <w:rsid w:val="00C86975"/>
    <w:rsid w:val="00C87796"/>
    <w:rsid w:val="00C95B31"/>
    <w:rsid w:val="00CA148F"/>
    <w:rsid w:val="00CB1A99"/>
    <w:rsid w:val="00CB6433"/>
    <w:rsid w:val="00CD1DC2"/>
    <w:rsid w:val="00CD3558"/>
    <w:rsid w:val="00CD62E5"/>
    <w:rsid w:val="00CE097A"/>
    <w:rsid w:val="00CE3C04"/>
    <w:rsid w:val="00CE5613"/>
    <w:rsid w:val="00CF0E42"/>
    <w:rsid w:val="00CF213F"/>
    <w:rsid w:val="00CF44FE"/>
    <w:rsid w:val="00D02982"/>
    <w:rsid w:val="00D05BC8"/>
    <w:rsid w:val="00D36B6C"/>
    <w:rsid w:val="00D37647"/>
    <w:rsid w:val="00D436E4"/>
    <w:rsid w:val="00D4709B"/>
    <w:rsid w:val="00D61579"/>
    <w:rsid w:val="00D72826"/>
    <w:rsid w:val="00D80F4F"/>
    <w:rsid w:val="00D8546C"/>
    <w:rsid w:val="00D93B7D"/>
    <w:rsid w:val="00D9655B"/>
    <w:rsid w:val="00DA0191"/>
    <w:rsid w:val="00DA75D1"/>
    <w:rsid w:val="00DB0C09"/>
    <w:rsid w:val="00DB168D"/>
    <w:rsid w:val="00DB371E"/>
    <w:rsid w:val="00DC18B3"/>
    <w:rsid w:val="00DC4054"/>
    <w:rsid w:val="00DC6357"/>
    <w:rsid w:val="00DD013E"/>
    <w:rsid w:val="00DD129A"/>
    <w:rsid w:val="00DD7716"/>
    <w:rsid w:val="00DE53A3"/>
    <w:rsid w:val="00DE5A0F"/>
    <w:rsid w:val="00DE64BB"/>
    <w:rsid w:val="00DE7166"/>
    <w:rsid w:val="00DF0C31"/>
    <w:rsid w:val="00DF1F98"/>
    <w:rsid w:val="00DF226F"/>
    <w:rsid w:val="00DF635F"/>
    <w:rsid w:val="00E1022B"/>
    <w:rsid w:val="00E36B86"/>
    <w:rsid w:val="00E37D31"/>
    <w:rsid w:val="00E439D8"/>
    <w:rsid w:val="00E56491"/>
    <w:rsid w:val="00E62F40"/>
    <w:rsid w:val="00E637E6"/>
    <w:rsid w:val="00E70228"/>
    <w:rsid w:val="00E71874"/>
    <w:rsid w:val="00E746DD"/>
    <w:rsid w:val="00E9126C"/>
    <w:rsid w:val="00E93655"/>
    <w:rsid w:val="00E94CC6"/>
    <w:rsid w:val="00E94E44"/>
    <w:rsid w:val="00EA54B0"/>
    <w:rsid w:val="00EB10E2"/>
    <w:rsid w:val="00EB2964"/>
    <w:rsid w:val="00EC05C3"/>
    <w:rsid w:val="00ED135C"/>
    <w:rsid w:val="00EE028F"/>
    <w:rsid w:val="00EF1263"/>
    <w:rsid w:val="00EF3606"/>
    <w:rsid w:val="00EF7A1D"/>
    <w:rsid w:val="00F06378"/>
    <w:rsid w:val="00F10851"/>
    <w:rsid w:val="00F125D2"/>
    <w:rsid w:val="00F1674F"/>
    <w:rsid w:val="00F229B0"/>
    <w:rsid w:val="00F251C1"/>
    <w:rsid w:val="00F263D8"/>
    <w:rsid w:val="00F2765C"/>
    <w:rsid w:val="00F347A7"/>
    <w:rsid w:val="00F35C74"/>
    <w:rsid w:val="00F3648B"/>
    <w:rsid w:val="00F46FE3"/>
    <w:rsid w:val="00F51029"/>
    <w:rsid w:val="00F551BE"/>
    <w:rsid w:val="00F64C4D"/>
    <w:rsid w:val="00F64D2B"/>
    <w:rsid w:val="00F67A5D"/>
    <w:rsid w:val="00F768CA"/>
    <w:rsid w:val="00F77B05"/>
    <w:rsid w:val="00F864D9"/>
    <w:rsid w:val="00F87382"/>
    <w:rsid w:val="00F9136B"/>
    <w:rsid w:val="00F93943"/>
    <w:rsid w:val="00F94D9C"/>
    <w:rsid w:val="00F96B4A"/>
    <w:rsid w:val="00FA419F"/>
    <w:rsid w:val="00FA51C8"/>
    <w:rsid w:val="00FB6AC8"/>
    <w:rsid w:val="00FB6B2F"/>
    <w:rsid w:val="00FC350D"/>
    <w:rsid w:val="00FC6EF7"/>
    <w:rsid w:val="00FD0213"/>
    <w:rsid w:val="00FD259F"/>
    <w:rsid w:val="00FD26A4"/>
    <w:rsid w:val="00FD6DAF"/>
    <w:rsid w:val="00FE14E3"/>
    <w:rsid w:val="00FE45FA"/>
    <w:rsid w:val="00FE5EDB"/>
    <w:rsid w:val="00FE6DCF"/>
    <w:rsid w:val="00FE73AC"/>
    <w:rsid w:val="00FF132E"/>
    <w:rsid w:val="00FF2E79"/>
    <w:rsid w:val="00FF62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AEE31E-40FB-4C25-8BBE-FB60B07F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93"/>
    <w:pPr>
      <w:spacing w:before="120"/>
    </w:pPr>
    <w:rPr>
      <w:rFonts w:eastAsia="Times New Roman"/>
      <w:sz w:val="24"/>
      <w:szCs w:val="24"/>
      <w:lang w:val="en-GB" w:eastAsia="en-US"/>
    </w:rPr>
  </w:style>
  <w:style w:type="paragraph" w:styleId="Heading1">
    <w:name w:val="heading 1"/>
    <w:basedOn w:val="Normal"/>
    <w:next w:val="Normal"/>
    <w:qFormat/>
    <w:rsid w:val="0095219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67A8"/>
    <w:rPr>
      <w:color w:val="0000FF"/>
      <w:u w:val="single"/>
    </w:rPr>
  </w:style>
  <w:style w:type="character" w:styleId="PageNumber">
    <w:name w:val="page number"/>
    <w:basedOn w:val="DefaultParagraphFont"/>
    <w:rsid w:val="001367A8"/>
  </w:style>
  <w:style w:type="paragraph" w:styleId="Footer">
    <w:name w:val="footer"/>
    <w:basedOn w:val="Normal"/>
    <w:link w:val="FooterChar"/>
    <w:uiPriority w:val="99"/>
    <w:rsid w:val="001367A8"/>
    <w:pPr>
      <w:tabs>
        <w:tab w:val="center" w:pos="4536"/>
        <w:tab w:val="right" w:pos="9072"/>
      </w:tabs>
    </w:pPr>
  </w:style>
  <w:style w:type="paragraph" w:styleId="BodyText">
    <w:name w:val="Body Text"/>
    <w:basedOn w:val="Normal"/>
    <w:rsid w:val="001367A8"/>
    <w:pPr>
      <w:jc w:val="center"/>
    </w:pPr>
    <w:rPr>
      <w:b/>
      <w:sz w:val="28"/>
    </w:rPr>
  </w:style>
  <w:style w:type="paragraph" w:styleId="Header">
    <w:name w:val="header"/>
    <w:basedOn w:val="Normal"/>
    <w:link w:val="HeaderChar"/>
    <w:rsid w:val="001367A8"/>
    <w:pPr>
      <w:tabs>
        <w:tab w:val="center" w:pos="4536"/>
        <w:tab w:val="right" w:pos="9072"/>
      </w:tabs>
    </w:pPr>
  </w:style>
  <w:style w:type="paragraph" w:styleId="TableofAuthorities">
    <w:name w:val="table of authorities"/>
    <w:basedOn w:val="Normal"/>
    <w:next w:val="Normal"/>
    <w:autoRedefine/>
    <w:rsid w:val="0017687F"/>
    <w:pPr>
      <w:spacing w:afterLines="120"/>
    </w:pPr>
    <w:rPr>
      <w:rFonts w:eastAsia="Batang"/>
      <w:lang w:val="en-ZA" w:eastAsia="ko-KR"/>
    </w:rPr>
  </w:style>
  <w:style w:type="paragraph" w:customStyle="1" w:styleId="Balk">
    <w:name w:val="Başlık"/>
    <w:basedOn w:val="Normal"/>
    <w:rsid w:val="001367A8"/>
    <w:pPr>
      <w:spacing w:line="252" w:lineRule="auto"/>
      <w:ind w:left="993" w:hanging="993"/>
      <w:jc w:val="both"/>
    </w:pPr>
    <w:rPr>
      <w:rFonts w:ascii="ElegaGarmnd BT" w:hAnsi="ElegaGarmnd BT"/>
      <w:b/>
      <w:snapToGrid w:val="0"/>
      <w:sz w:val="23"/>
      <w:szCs w:val="20"/>
      <w:lang w:val="tr-TR" w:eastAsia="tr-TR"/>
    </w:rPr>
  </w:style>
  <w:style w:type="table" w:styleId="TableGrid">
    <w:name w:val="Table Grid"/>
    <w:basedOn w:val="TableNormal"/>
    <w:rsid w:val="00E5649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D8546C"/>
    <w:rPr>
      <w:color w:val="954F72"/>
      <w:u w:val="single"/>
    </w:rPr>
  </w:style>
  <w:style w:type="paragraph" w:customStyle="1" w:styleId="Title1">
    <w:name w:val="Title1"/>
    <w:basedOn w:val="BodyText"/>
    <w:qFormat/>
    <w:rsid w:val="00952193"/>
    <w:pPr>
      <w:jc w:val="left"/>
    </w:pPr>
    <w:rPr>
      <w:sz w:val="24"/>
    </w:rPr>
  </w:style>
  <w:style w:type="paragraph" w:customStyle="1" w:styleId="Author">
    <w:name w:val="Author"/>
    <w:basedOn w:val="Heading1"/>
    <w:qFormat/>
    <w:rsid w:val="00952193"/>
  </w:style>
  <w:style w:type="paragraph" w:customStyle="1" w:styleId="Authordetails">
    <w:name w:val="Authordetails"/>
    <w:basedOn w:val="Normal"/>
    <w:qFormat/>
    <w:rsid w:val="00952193"/>
    <w:pPr>
      <w:spacing w:before="0"/>
    </w:pPr>
  </w:style>
  <w:style w:type="paragraph" w:customStyle="1" w:styleId="Heading2">
    <w:name w:val="Heading2"/>
    <w:basedOn w:val="Normal"/>
    <w:qFormat/>
    <w:rsid w:val="00952193"/>
  </w:style>
  <w:style w:type="paragraph" w:customStyle="1" w:styleId="Figure">
    <w:name w:val="Figure"/>
    <w:basedOn w:val="Balk"/>
    <w:qFormat/>
    <w:rsid w:val="00952193"/>
    <w:pPr>
      <w:keepNext/>
      <w:ind w:left="992" w:hanging="992"/>
    </w:pPr>
  </w:style>
  <w:style w:type="character" w:styleId="CommentReference">
    <w:name w:val="annotation reference"/>
    <w:basedOn w:val="DefaultParagraphFont"/>
    <w:uiPriority w:val="99"/>
    <w:semiHidden/>
    <w:unhideWhenUsed/>
    <w:rsid w:val="00BC6CFC"/>
    <w:rPr>
      <w:sz w:val="16"/>
      <w:szCs w:val="16"/>
    </w:rPr>
  </w:style>
  <w:style w:type="paragraph" w:styleId="CommentText">
    <w:name w:val="annotation text"/>
    <w:basedOn w:val="Normal"/>
    <w:link w:val="CommentTextChar"/>
    <w:uiPriority w:val="99"/>
    <w:semiHidden/>
    <w:unhideWhenUsed/>
    <w:rsid w:val="00BC6CFC"/>
    <w:pPr>
      <w:tabs>
        <w:tab w:val="left" w:pos="284"/>
      </w:tabs>
      <w:spacing w:before="0"/>
      <w:jc w:val="both"/>
    </w:pPr>
    <w:rPr>
      <w:rFonts w:ascii="Arial" w:hAnsi="Arial"/>
      <w:sz w:val="20"/>
      <w:szCs w:val="20"/>
    </w:rPr>
  </w:style>
  <w:style w:type="character" w:customStyle="1" w:styleId="CommentTextChar">
    <w:name w:val="Comment Text Char"/>
    <w:basedOn w:val="DefaultParagraphFont"/>
    <w:link w:val="CommentText"/>
    <w:uiPriority w:val="99"/>
    <w:semiHidden/>
    <w:rsid w:val="00BC6CFC"/>
    <w:rPr>
      <w:rFonts w:ascii="Arial" w:eastAsia="Times New Roman" w:hAnsi="Arial"/>
      <w:lang w:val="en-GB" w:eastAsia="en-US"/>
    </w:rPr>
  </w:style>
  <w:style w:type="paragraph" w:styleId="BalloonText">
    <w:name w:val="Balloon Text"/>
    <w:basedOn w:val="Normal"/>
    <w:link w:val="BalloonTextChar"/>
    <w:semiHidden/>
    <w:unhideWhenUsed/>
    <w:rsid w:val="00BC6CF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C6CFC"/>
    <w:rPr>
      <w:rFonts w:ascii="Segoe UI" w:eastAsia="Times New Roman" w:hAnsi="Segoe UI" w:cs="Segoe UI"/>
      <w:sz w:val="18"/>
      <w:szCs w:val="18"/>
      <w:lang w:val="en-GB" w:eastAsia="en-US"/>
    </w:rPr>
  </w:style>
  <w:style w:type="paragraph" w:styleId="ListParagraph">
    <w:name w:val="List Paragraph"/>
    <w:basedOn w:val="Normal"/>
    <w:uiPriority w:val="34"/>
    <w:qFormat/>
    <w:rsid w:val="00731EE9"/>
    <w:pPr>
      <w:spacing w:before="0" w:after="200" w:line="276" w:lineRule="auto"/>
      <w:ind w:left="720"/>
      <w:contextualSpacing/>
    </w:pPr>
    <w:rPr>
      <w:rFonts w:asciiTheme="minorHAnsi" w:eastAsiaTheme="minorHAnsi" w:hAnsiTheme="minorHAnsi" w:cstheme="minorBidi"/>
      <w:sz w:val="22"/>
      <w:szCs w:val="22"/>
      <w:lang w:val="en-ZA"/>
    </w:rPr>
  </w:style>
  <w:style w:type="paragraph" w:customStyle="1" w:styleId="Default">
    <w:name w:val="Default"/>
    <w:rsid w:val="001E0699"/>
    <w:pPr>
      <w:autoSpaceDE w:val="0"/>
      <w:autoSpaceDN w:val="0"/>
      <w:adjustRightInd w:val="0"/>
    </w:pPr>
    <w:rPr>
      <w:rFonts w:eastAsia="Calibri"/>
      <w:color w:val="000000"/>
      <w:sz w:val="24"/>
      <w:szCs w:val="24"/>
      <w:lang w:val="en-ZA" w:eastAsia="en-US"/>
    </w:rPr>
  </w:style>
  <w:style w:type="character" w:styleId="Emphasis">
    <w:name w:val="Emphasis"/>
    <w:basedOn w:val="DefaultParagraphFont"/>
    <w:uiPriority w:val="20"/>
    <w:qFormat/>
    <w:rsid w:val="000F2CEA"/>
    <w:rPr>
      <w:b/>
      <w:bCs/>
      <w:i w:val="0"/>
      <w:iCs w:val="0"/>
    </w:rPr>
  </w:style>
  <w:style w:type="character" w:customStyle="1" w:styleId="st1">
    <w:name w:val="st1"/>
    <w:basedOn w:val="DefaultParagraphFont"/>
    <w:rsid w:val="000F2CEA"/>
  </w:style>
  <w:style w:type="paragraph" w:styleId="FootnoteText">
    <w:name w:val="footnote text"/>
    <w:basedOn w:val="Normal"/>
    <w:link w:val="FootnoteTextChar"/>
    <w:semiHidden/>
    <w:unhideWhenUsed/>
    <w:rsid w:val="00367CF0"/>
    <w:pPr>
      <w:spacing w:before="0"/>
    </w:pPr>
    <w:rPr>
      <w:sz w:val="20"/>
      <w:szCs w:val="20"/>
    </w:rPr>
  </w:style>
  <w:style w:type="character" w:customStyle="1" w:styleId="FootnoteTextChar">
    <w:name w:val="Footnote Text Char"/>
    <w:basedOn w:val="DefaultParagraphFont"/>
    <w:link w:val="FootnoteText"/>
    <w:semiHidden/>
    <w:rsid w:val="00367CF0"/>
    <w:rPr>
      <w:rFonts w:eastAsia="Times New Roman"/>
      <w:lang w:val="en-GB" w:eastAsia="en-US"/>
    </w:rPr>
  </w:style>
  <w:style w:type="character" w:styleId="FootnoteReference">
    <w:name w:val="footnote reference"/>
    <w:basedOn w:val="DefaultParagraphFont"/>
    <w:semiHidden/>
    <w:unhideWhenUsed/>
    <w:rsid w:val="00367CF0"/>
    <w:rPr>
      <w:vertAlign w:val="superscript"/>
    </w:rPr>
  </w:style>
  <w:style w:type="paragraph" w:styleId="Revision">
    <w:name w:val="Revision"/>
    <w:hidden/>
    <w:uiPriority w:val="99"/>
    <w:semiHidden/>
    <w:rsid w:val="00B648EF"/>
    <w:rPr>
      <w:rFonts w:eastAsia="Times New Roman"/>
      <w:sz w:val="24"/>
      <w:szCs w:val="24"/>
      <w:lang w:val="en-GB" w:eastAsia="en-US"/>
    </w:rPr>
  </w:style>
  <w:style w:type="paragraph" w:styleId="CommentSubject">
    <w:name w:val="annotation subject"/>
    <w:basedOn w:val="CommentText"/>
    <w:next w:val="CommentText"/>
    <w:link w:val="CommentSubjectChar"/>
    <w:semiHidden/>
    <w:unhideWhenUsed/>
    <w:rsid w:val="00B648EF"/>
    <w:pPr>
      <w:tabs>
        <w:tab w:val="clear" w:pos="284"/>
      </w:tabs>
      <w:spacing w:before="120"/>
      <w:jc w:val="left"/>
    </w:pPr>
    <w:rPr>
      <w:rFonts w:ascii="Times New Roman" w:hAnsi="Times New Roman"/>
      <w:b/>
      <w:bCs/>
    </w:rPr>
  </w:style>
  <w:style w:type="character" w:customStyle="1" w:styleId="CommentSubjectChar">
    <w:name w:val="Comment Subject Char"/>
    <w:basedOn w:val="CommentTextChar"/>
    <w:link w:val="CommentSubject"/>
    <w:semiHidden/>
    <w:rsid w:val="00B648EF"/>
    <w:rPr>
      <w:rFonts w:ascii="Arial" w:eastAsia="Times New Roman" w:hAnsi="Arial"/>
      <w:b/>
      <w:bCs/>
      <w:lang w:val="en-GB" w:eastAsia="en-US"/>
    </w:rPr>
  </w:style>
  <w:style w:type="character" w:customStyle="1" w:styleId="HeaderChar">
    <w:name w:val="Header Char"/>
    <w:basedOn w:val="DefaultParagraphFont"/>
    <w:link w:val="Header"/>
    <w:rsid w:val="00C86975"/>
    <w:rPr>
      <w:rFonts w:eastAsia="Times New Roman"/>
      <w:sz w:val="24"/>
      <w:szCs w:val="24"/>
      <w:lang w:val="en-GB" w:eastAsia="en-US"/>
    </w:rPr>
  </w:style>
  <w:style w:type="paragraph" w:styleId="NormalWeb">
    <w:name w:val="Normal (Web)"/>
    <w:basedOn w:val="Normal"/>
    <w:semiHidden/>
    <w:unhideWhenUsed/>
    <w:rsid w:val="00C86975"/>
    <w:pPr>
      <w:spacing w:before="0"/>
    </w:pPr>
    <w:rPr>
      <w:lang w:val="en-US"/>
    </w:rPr>
  </w:style>
  <w:style w:type="character" w:customStyle="1" w:styleId="FooterChar">
    <w:name w:val="Footer Char"/>
    <w:basedOn w:val="DefaultParagraphFont"/>
    <w:link w:val="Footer"/>
    <w:uiPriority w:val="99"/>
    <w:rsid w:val="00C86975"/>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50861">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7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treasury.gov.za/divisions/ocpo/sc/GeneralConditions/%20General%20Conditions%20of%20Contrac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joburg-archive.co.za/2007/pdfs/tender_form_mbd6.11.pdf" TargetMode="External"/><Relationship Id="rId17" Type="http://schemas.openxmlformats.org/officeDocument/2006/relationships/hyperlink" Target="http://www.emeraldinsight.com/author/Worrel%2C+Gabriela" TargetMode="External"/><Relationship Id="rId2" Type="http://schemas.openxmlformats.org/officeDocument/2006/relationships/numbering" Target="numbering.xml"/><Relationship Id="rId16" Type="http://schemas.openxmlformats.org/officeDocument/2006/relationships/hyperlink" Target="http://www.un.org/esa/ffd/ffd3/commitments/commitme%20nt/addis-ababa-action-plan-on-transformative-financing-for-gender-equality-and-womens-empowermen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urg-archive.co.za/2007/pdfs/tender_form_mbd6.3.pdf" TargetMode="External"/><Relationship Id="rId5" Type="http://schemas.openxmlformats.org/officeDocument/2006/relationships/webSettings" Target="webSettings.xml"/><Relationship Id="rId15" Type="http://schemas.openxmlformats.org/officeDocument/2006/relationships/hyperlink" Target="http://www.mg.co.za/article/2016-07-11-00-modernising-the-governments-procurement-system" TargetMode="External"/><Relationship Id="rId23" Type="http://schemas.openxmlformats.org/officeDocument/2006/relationships/theme" Target="theme/theme1.xml"/><Relationship Id="rId10" Type="http://schemas.openxmlformats.org/officeDocument/2006/relationships/hyperlink" Target="http://www.joburg.org.za/%20images/stories/2016/May/PDFs/ATT1JHIA.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joburg.org.za/documents_/Documents/%20Statistical%20Briefs/Issue%2013_%20An%20analysis%20of%20key%20trends%20and%20Indicators%20For%20the%20City%20of%20Johannesburg.pdf" TargetMode="External"/><Relationship Id="rId14" Type="http://schemas.openxmlformats.org/officeDocument/2006/relationships/hyperlink" Target="https://papers.ssrn.com/sol3/papers.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62067-A337-42B8-8AFB-E5F27499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5771</Words>
  <Characters>32899</Characters>
  <Application>Microsoft Office Word</Application>
  <DocSecurity>0</DocSecurity>
  <Lines>274</Lines>
  <Paragraphs>77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HERE COMES THE TITLE OF THE PAPER</vt:lpstr>
      <vt:lpstr>HERE COMES THE TITLE OF THE PAPER</vt:lpstr>
    </vt:vector>
  </TitlesOfParts>
  <Company/>
  <LinksUpToDate>false</LinksUpToDate>
  <CharactersWithSpaces>38593</CharactersWithSpaces>
  <SharedDoc>false</SharedDoc>
  <HLinks>
    <vt:vector size="12" baseType="variant">
      <vt:variant>
        <vt:i4>3014776</vt:i4>
      </vt:variant>
      <vt:variant>
        <vt:i4>9</vt:i4>
      </vt:variant>
      <vt:variant>
        <vt:i4>0</vt:i4>
      </vt:variant>
      <vt:variant>
        <vt:i4>5</vt:i4>
      </vt:variant>
      <vt:variant>
        <vt:lpwstr>http://ppi.worldbank.org/reports/customQueryAggregate.asp. Accessed 2012/02/02</vt:lpwstr>
      </vt:variant>
      <vt:variant>
        <vt:lpwstr/>
      </vt:variant>
      <vt:variant>
        <vt:i4>2228349</vt:i4>
      </vt:variant>
      <vt:variant>
        <vt:i4>0</vt:i4>
      </vt:variant>
      <vt:variant>
        <vt:i4>0</vt:i4>
      </vt:variant>
      <vt:variant>
        <vt:i4>5</vt:i4>
      </vt:variant>
      <vt:variant>
        <vt:lpwstr>https://www.aeaweb.org/econlit/jelCodes.php?view=jel&amp;print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COMES THE TITLE OF THE PAPER</dc:title>
  <dc:creator>.</dc:creator>
  <cp:lastModifiedBy>Sudha</cp:lastModifiedBy>
  <cp:revision>2</cp:revision>
  <cp:lastPrinted>2018-09-10T14:10:00Z</cp:lastPrinted>
  <dcterms:created xsi:type="dcterms:W3CDTF">2020-10-21T11:09:00Z</dcterms:created>
  <dcterms:modified xsi:type="dcterms:W3CDTF">2020-10-21T11:09:00Z</dcterms:modified>
</cp:coreProperties>
</file>